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March 4,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bookmarkEnd w:id="1"/>
    </w:p>
    <w:p>
      <w:pPr>
        <w:pStyle w:val="Heading1"/>
        <w:rPr/>
      </w:pPr>
      <w:bookmarkStart w:id="2" w:name="introduction"/>
      <w:r>
        <w:rPr/>
        <w:t>2. Introduction</w:t>
      </w:r>
    </w:p>
    <w:p>
      <w:pPr>
        <w:pStyle w:val="FirstParagraph"/>
        <w:rPr/>
      </w:pPr>
      <w:r>
        <w:rPr/>
        <w:t>Phenotypic plasticity and genetic adaptation are key drivers of evolution, and both processes may aid in plant adaptation to a warming climate (</w:t>
      </w:r>
      <w:r>
        <w:rPr>
          <w:b/>
          <w:bCs/>
        </w:rPr>
        <w:t>jump2005?</w:t>
      </w:r>
      <w:r>
        <w:rPr/>
        <w:t xml:space="preserve">). Plant’s colonization of land across multiples climates has been aided by their parallel evolution with fungi and bacteria;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FEF live in plant leaves and they may contribute to local adaptation and/or phenotypic plasticity. Host genetics may shape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OTUs (Horton et al., 2014). Another ideal model system to explore the interactions between leaf traits and FEF are the yellow monkeyflowers in the </w:t>
      </w:r>
      <w:r>
        <w:rPr>
          <w:i/>
          <w:iCs/>
        </w:rPr>
        <w:t>Mimulus guttatus</w:t>
      </w:r>
      <w:r>
        <w:rPr/>
        <w:t xml:space="preserve"> species complex. Over the last 2 decades, the </w:t>
      </w:r>
      <w:r>
        <w:rPr>
          <w:i/>
          <w:iCs/>
        </w:rPr>
        <w:t>M. guttatus</w:t>
      </w:r>
      <w:r>
        <w:rPr/>
        <w:t xml:space="preserve"> species complex has become a model system for answering questions about local adaptation and phenotypic plasticity (Wu et al., 2008; Yuan, 2019). Experimental manipulation is relatively easy due to its small genome (about 430 Mb), short generation time, high fecundity, self-compatibility, and ease of greenhouse propagation (Wu et al., 2008; </w:t>
      </w:r>
      <w:r>
        <w:rPr>
          <w:b/>
          <w:bCs/>
        </w:rPr>
        <w:t>society2019?</w:t>
      </w:r>
      <w:r>
        <w:rPr/>
        <w:t xml:space="preserve">) Currently, studies of the </w:t>
      </w:r>
      <w:r>
        <w:rPr>
          <w:i/>
          <w:iCs/>
        </w:rPr>
        <w:t>M. guttatus</w:t>
      </w:r>
      <w:r>
        <w:rPr/>
        <w:t xml:space="preserve"> species complex focus on the genetic and environmental factors driving local adaptation and phenotypic plasticity. The evolution of leaf shape for 3 edaphic species in the </w:t>
      </w:r>
      <w:r>
        <w:rPr>
          <w:i/>
          <w:iCs/>
        </w:rPr>
        <w:t>M. guttatus</w:t>
      </w:r>
      <w:r>
        <w:rPr/>
        <w:t xml:space="preserve"> complex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Mimulus laciniatus</w:t>
      </w:r>
      <w:r>
        <w:rPr/>
        <w:t xml:space="preserve"> and </w:t>
      </w:r>
      <w:r>
        <w:rPr>
          <w:i/>
          <w:iCs/>
        </w:rPr>
        <w:t>Mimulus guttatus</w:t>
      </w:r>
      <w:r>
        <w:rPr/>
        <w:t xml:space="preserve">, shedding light on the location of quantitative trait loci (QTL) for the first flower node, flowering time, corolla width, corolla length, and leaf shape and suggesting that large-effect loci underlie these traits (Ferris et al., 2017).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 fungi (i.e., yeasts) was significantly correlated to the location of the plant and marginally correlated with the density of the flowers in the plant (Beslile et al., 2012). 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(CITE)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spp.along an elevation gradient. We formulated the following questions: Q1) Are there differences in leaf functional traits and FEF communities </w:t>
      </w:r>
      <w:r>
        <w:rPr>
          <w:i/>
          <w:iCs/>
        </w:rPr>
        <w:t>among</w:t>
      </w:r>
      <w:r>
        <w:rPr/>
        <w:t xml:space="preserve"> sympatric </w:t>
      </w:r>
      <w:r>
        <w:rPr>
          <w:i/>
          <w:iCs/>
        </w:rPr>
        <w:t>Mimulus</w:t>
      </w:r>
      <w:r>
        <w:rPr/>
        <w:t xml:space="preserve"> spp. populations? Q2) Do leaf functional traits and FEF communities differ </w:t>
      </w:r>
      <w:r>
        <w:rPr>
          <w:i/>
          <w:iCs/>
        </w:rPr>
        <w:t>between</w:t>
      </w:r>
      <w:r>
        <w:rPr/>
        <w:t xml:space="preserve"> species along an elevational gradient? Q3) Are FEF community patterns influenced by leaf functional traits and/or elevation gradient? Q4) How do FEF community composition differs in response to geographic distance at the genus and host species level?  We expect the abundance, diversity, richness, and community composition of FEF will be more similar among the same sites (alpha diversity) than between sites (beta diversity) regardless of host species.</w:t>
      </w:r>
    </w:p>
    <w:p>
      <w:pPr>
        <w:pStyle w:val="BodyText"/>
        <w:rPr/>
      </w:pPr>
      <w:bookmarkStart w:id="3" w:name="introduction"/>
      <w:r>
        <w:rPr/>
        <w:t>TALK ABOUT THE EXPANDED PHENOTYPE</w:t>
      </w:r>
      <w:bookmarkEnd w:id="3"/>
    </w:p>
    <w:p>
      <w:pPr>
        <w:pStyle w:val="Heading1"/>
        <w:rPr/>
      </w:pPr>
      <w:bookmarkStart w:id="4" w:name="materials-and-methods"/>
      <w:r>
        <w:rPr/>
        <w:t>3. Materials and Methods</w:t>
      </w:r>
    </w:p>
    <w:p>
      <w:pPr>
        <w:pStyle w:val="Heading2"/>
        <w:rPr/>
      </w:pPr>
      <w:bookmarkStart w:id="5" w:name="sample-collection"/>
      <w:r>
        <w:rPr/>
        <w:t>3.1 Sample Collection</w:t>
      </w:r>
    </w:p>
    <w:p>
      <w:pPr>
        <w:pStyle w:val="FirstParagraph"/>
        <w:rPr/>
      </w:pPr>
      <w:r>
        <w:rPr/>
        <w:t xml:space="preserve">We collected plant specimens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t>
      </w:r>
      <w:r>
        <w:rPr>
          <w:b/>
          <w:bCs/>
        </w:rPr>
        <w:t>site_map?</w:t>
      </w:r>
      <w:r>
        <w:rPr/>
        <w:t>)).  during We haphazardly selected sites close to the main roads based on the presence of a viable population of at least ~ 50 individuals per species.  Samples collected from YNP were collected from non-wilderness areas on the side of the road. We determined population viability ensuring that they had individuals flowering or close to flowering stage. We collected between 6 - 12 individuals per species per site. We selected individuals that possessed healthy looking leaves,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5"/>
    </w:p>
    <w:p>
      <w:pPr>
        <w:pStyle w:val="Heading2"/>
        <w:rPr/>
      </w:pPr>
      <w:bookmarkStart w:id="6" w:name="leaf-traits-measurement"/>
      <w:r>
        <w:rPr/>
        <w:t>3.2 Leaf traits measurement</w:t>
      </w:r>
    </w:p>
    <w:p>
      <w:pPr>
        <w:pStyle w:val="FirstParagraph"/>
        <w:rPr/>
      </w:pPr>
      <w:r>
        <w:rPr/>
        <w:t>From each plant, we measured leaf traits: leaf thickness (LT), leaf punch strength (LPS), leaf mass per area (LMA), anthocyanin content index (ACI) which are known to be associated with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with the exception of LBI, only one leaf per plant. We used a transparency film to hold the leaf in place and flatten, after which we took a digital photograph for further analysis. To calculate the LBI, we followed (2015). Brieflly, leaf lobing is calculated as the convex hull area minus the true leaf area divided by convex hull area of a digital photograph of a leaf in ImageJ [v1.52r; (</w:t>
      </w:r>
      <w:r>
        <w:rPr>
          <w:b/>
          <w:bCs/>
        </w:rPr>
        <w:t>schneider2012?</w:t>
      </w:r>
      <w:r>
        <w:rPr/>
        <w:t>)].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w:t>
      </w:r>
      <w:r>
        <w:rPr>
          <w:b/>
          <w:bCs/>
        </w:rPr>
        <w:t>opti-sciencesinc?</w:t>
      </w:r>
      <w:r>
        <w:rPr/>
        <w:t>),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6"/>
    </w:p>
    <w:p>
      <w:pPr>
        <w:pStyle w:val="Heading2"/>
        <w:rPr/>
      </w:pPr>
      <w:bookmarkStart w:id="7" w:name="molecular-work"/>
      <w:r>
        <w:rPr/>
        <w:t>3.3 Molecular Work</w:t>
      </w:r>
    </w:p>
    <w:p>
      <w:pPr>
        <w:pStyle w:val="Heading3"/>
        <w:rPr/>
      </w:pPr>
      <w:bookmarkStart w:id="8" w:name="tissue-preservation"/>
      <w:r>
        <w:rPr/>
        <w:t>3.3.1 Tissue preservation</w:t>
      </w:r>
    </w:p>
    <w:p>
      <w:pPr>
        <w:pStyle w:val="FirstParagraph"/>
        <w:rPr/>
      </w:pPr>
      <w:bookmarkStart w:id="9"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9"/>
    </w:p>
    <w:p>
      <w:pPr>
        <w:pStyle w:val="Heading3"/>
        <w:rPr/>
      </w:pPr>
      <w:bookmarkStart w:id="10" w:name="amplicon-sequencing"/>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r>
        <w:rPr/>
        <w:t>We used a DNA extraction protocol for high-molecular weight DNA extraction adapted from Russo et al., (</w:t>
      </w:r>
      <w:r>
        <w:rPr>
          <w:b/>
          <w:bCs/>
        </w:rPr>
        <w:t>russo2022?</w:t>
      </w:r>
      <w:r>
        <w:rPr/>
        <w:t xml:space="preserve">). Briefly, it is a CTAB:chloroform:isoamyl extraction combined with a solid-phase reversible immobilization (SPRI) bead step (Liu et al., 2023; Rohland &amp; Reich, 2012; </w:t>
      </w:r>
      <w:r>
        <w:rPr>
          <w:b/>
          <w:bCs/>
        </w:rPr>
        <w:t>russo2022?</w:t>
      </w:r>
      <w:r>
        <w:rPr/>
        <w:t xml:space="preserve">).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&amp; Bruns, 1993) and ITS2 (White et al., 1990) modified with the Illumina TruSeq adaptor (see Supplementary Material). Every sample was amplified in three parallel reactions at the annealing temperatures 52 ℃, 54 ℃, and 56 ℃ to amplify a wide range of fungal taxa and reduce amplification bias for short ITS sequences (U’Ren &amp; Arnold, 2017; </w:t>
      </w:r>
      <w:r>
        <w:rPr>
          <w:b/>
          <w:bCs/>
        </w:rPr>
        <w:t>lumibao2018?</w:t>
      </w:r>
      <w:r>
        <w:rPr/>
        <w:t>). Each PCR (PCR1) reaction contained 2 µL of sample DNA template. We visualized PCR1 reactions with SYBR™ Safe DNA Gel Stain (Thermo Fisher Scientific, Waltham, MA, USA., Cat# S33102) on 2% agarose gel (Oita et al., 2021). We combined 5 µL of amplicon product from parallel reactions in 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10"/>
    </w:p>
    <w:p>
      <w:pPr>
        <w:pStyle w:val="Heading3"/>
        <w:rPr/>
      </w:pPr>
      <w:bookmarkStart w:id="11"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&amp; Flyvbjerg, 2015). For this we set set the arguments </w:t>
      </w:r>
      <w:r>
        <w:rPr>
          <w:rStyle w:val="VerbatimChar"/>
        </w:rPr>
        <w:t>trunQ = 2</w:t>
      </w:r>
      <w:r>
        <w:rPr/>
        <w:t xml:space="preserve">, </w:t>
      </w:r>
      <w:r>
        <w:rPr>
          <w:rStyle w:val="VerbatimChar"/>
        </w:rPr>
        <w:t>maxEE = c(2,20)</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&amp; Holmes, 2013). All post-quality bioinformatic steps were performed in </w:t>
      </w:r>
      <w:r>
        <w:rPr>
          <w:i/>
          <w:iCs/>
        </w:rPr>
        <w:t>R</w:t>
      </w:r>
      <w:r>
        <w:rPr/>
        <w:t xml:space="preserve"> [v.4.3.2; R Core Team (2023)].</w:t>
      </w:r>
      <w:bookmarkEnd w:id="7"/>
      <w:bookmarkEnd w:id="11"/>
    </w:p>
    <w:p>
      <w:pPr>
        <w:pStyle w:val="Heading2"/>
        <w:rPr/>
      </w:pPr>
      <w:bookmarkStart w:id="12" w:name="statistical-analyses"/>
      <w:r>
        <w:rPr/>
        <w:t>3.4 Statistical Analyses</w:t>
      </w:r>
    </w:p>
    <w:p>
      <w:pPr>
        <w:pStyle w:val="FirstParagraph"/>
        <w:rPr/>
      </w:pPr>
      <w:r>
        <w:rPr/>
        <w:t xml:space="preserve">Before performing statistical analyses, we checked for normality and homoscedasticity of the leaf traits measured. We used Shapiro-Wilk and Fligner-Killen tests from the </w:t>
      </w:r>
      <w:r>
        <w:rPr>
          <w:rStyle w:val="VerbatimChar"/>
        </w:rPr>
        <w:t>stats</w:t>
      </w:r>
      <w:r>
        <w:rPr/>
        <w:t xml:space="preserve"> package (R Core Team, 2023) to check for normality and homoscedasticity, respectively. We established that the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w:t>
      </w:r>
      <w:r>
        <w:rPr>
          <w:b/>
          <w:bCs/>
        </w:rPr>
        <w:t>benjamini1995?</w:t>
      </w:r>
      <w:r>
        <w:rPr/>
        <w:t xml:space="preserve">).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w:t>
      </w:r>
    </w:p>
    <w:p>
      <w:pPr>
        <w:pStyle w:val="BodyText"/>
        <w:rPr/>
      </w:pPr>
      <w:r>
        <w:rPr/>
        <w:t xml:space="preserve">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We then calculated alpha diversity per sample as in different measure of Hill orders, the observed richness (𝑞 = 0), the exponent of Shannon’s Diversity (𝑞 = 1), and the Inverse Simpson’s Diversity (𝑞 = 2) with the </w:t>
      </w:r>
      <w:r>
        <w:rPr>
          <w:rStyle w:val="VerbatimChar"/>
        </w:rPr>
        <w:t>estimated-richness</w:t>
      </w:r>
      <w:r>
        <w:rPr/>
        <w:t xml:space="preserve"> function from </w:t>
      </w:r>
      <w:r>
        <w:rPr>
          <w:rStyle w:val="VerbatimChar"/>
        </w:rPr>
        <w:t>phyloseq</w:t>
      </w:r>
      <w:r>
        <w:rPr/>
        <w:t xml:space="preserve"> (McMurdie &amp; Holmes, 2013). We used the </w:t>
      </w:r>
      <w:r>
        <w:rPr>
          <w:rStyle w:val="VerbatimChar"/>
        </w:rPr>
        <w:t>vegdist</w:t>
      </w:r>
      <w:r>
        <w:rPr/>
        <w:t xml:space="preserve"> function from </w:t>
      </w:r>
      <w:r>
        <w:rPr>
          <w:rStyle w:val="VerbatimChar"/>
        </w:rPr>
        <w:t>vegan</w:t>
      </w:r>
      <w:r>
        <w:rPr/>
        <w:t xml:space="preserve"> (Oksanen et al., 2022) to calculate the Bray-Curtis dissimilarity matrix, a measure of beta diversity, to compare the FEF communities within each monkeyflower species across sites and elevation (Q1 - Q2). Additionally, we used a distance-based Redundancy Analysis (dbRDA) to statistically compare the FEF community similarities within each host species per site (Q3). We modeled the dbRDA analysis with all leaf functional traits included and elevation as a continuous variable. Its visualizations effectively portray underlying patterns of compositional differences (Anderson, 2017; Legendre &amp; Anderson, 1999; </w:t>
      </w:r>
      <w:r>
        <w:rPr>
          <w:b/>
          <w:bCs/>
        </w:rPr>
        <w:t>mcardle2001?</w:t>
      </w:r>
      <w:r>
        <w:rPr/>
        <w:t xml:space="preserve">), akin to permutational analysis of variance. We used the </w:t>
      </w:r>
      <w:r>
        <w:rPr>
          <w:rStyle w:val="VerbatimChar"/>
        </w:rPr>
        <w:t>anova.cca</w:t>
      </w:r>
      <w:r>
        <w:rPr/>
        <w:t xml:space="preserve"> function to assess the marginal significance of constraining variables (Legendre &amp; Legendre, 2012; Oksanen et al., 2022; </w:t>
      </w:r>
      <w:r>
        <w:rPr>
          <w:b/>
          <w:bCs/>
        </w:rPr>
        <w:t>legendre2011?</w:t>
      </w:r>
      <w:r>
        <w:rPr/>
        <w:t xml:space="preserve">).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"centroid"</w:t>
      </w:r>
      <w:r>
        <w:rPr/>
        <w:t xml:space="preserve">, and </w:t>
      </w:r>
      <w:r>
        <w:rPr>
          <w:rStyle w:val="VerbatimChar"/>
        </w:rPr>
        <w:t>permutest</w:t>
      </w:r>
      <w:r>
        <w:rPr/>
        <w:t xml:space="preserve"> functions from </w:t>
      </w:r>
      <w:r>
        <w:rPr>
          <w:rStyle w:val="VerbatimChar"/>
        </w:rPr>
        <w:t>vegan</w:t>
      </w:r>
      <w:r>
        <w:rPr/>
        <w:t xml:space="preserve">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To determine if there is a core FEF community associated with host species or elevation categories, we conducted an indicators species analyses (ISA) using the </w:t>
      </w:r>
      <w:r>
        <w:rPr>
          <w:rStyle w:val="VerbatimChar"/>
        </w:rPr>
        <w:t>multipatt</w:t>
      </w:r>
      <w:r>
        <w:rPr/>
        <w:t xml:space="preserve"> function from the </w:t>
      </w:r>
      <w:r>
        <w:rPr>
          <w:rStyle w:val="VerbatimChar"/>
        </w:rPr>
        <w:t>indicspecies</w:t>
      </w:r>
      <w:r>
        <w:rPr/>
        <w:t xml:space="preserve"> package (De Cáceres &amp; Legendre, 2009).</w:t>
      </w:r>
    </w:p>
    <w:p>
      <w:pPr>
        <w:pStyle w:val="BodyText"/>
        <w:rPr/>
      </w:pPr>
      <w:r>
        <w:rPr/>
        <w:t xml:space="preserve">Ultimately, to test the correlation between the geographical distance matrix and FEF community dissimilarity (Bray-Curtis dissimilarity) per host species (Q4), we calculated distance matrix of geographical distances between sites using the Vicenty (ellipsoid) method with the </w:t>
      </w:r>
      <w:r>
        <w:rPr>
          <w:rStyle w:val="VerbatimChar"/>
        </w:rPr>
        <w:t>geosphere</w:t>
      </w:r>
      <w:r>
        <w:rPr/>
        <w:t xml:space="preserve"> package (Hijmans, 2022). We then computed a Mantel test with the </w:t>
      </w:r>
      <w:r>
        <w:rPr>
          <w:rStyle w:val="VerbatimChar"/>
        </w:rPr>
        <w:t>mantel</w:t>
      </w:r>
      <w:r>
        <w:rPr/>
        <w:t xml:space="preserve"> function from </w:t>
      </w:r>
      <w:r>
        <w:rPr>
          <w:rStyle w:val="VerbatimChar"/>
        </w:rPr>
        <w:t>vegan</w:t>
      </w:r>
      <w:r>
        <w:rPr/>
        <w:t xml:space="preserve"> (Oksanen et al., 2022). We set used the method “spearman” and 999 permutations. All statistical analyses were performed in </w:t>
      </w:r>
      <w:r>
        <w:rPr>
          <w:i/>
          <w:iCs/>
        </w:rPr>
        <w:t>R</w:t>
      </w:r>
      <w:r>
        <w:rPr/>
        <w:t xml:space="preserve"> programming language [v.4.3.2; R Core Team (2023)].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4"/>
      <w:bookmarkEnd w:id="12"/>
    </w:p>
    <w:p>
      <w:pPr>
        <w:pStyle w:val="Heading1"/>
        <w:rPr/>
      </w:pPr>
      <w:bookmarkStart w:id="13" w:name="results"/>
      <w:r>
        <w:rPr/>
        <w:t>4. Results</w:t>
      </w:r>
    </w:p>
    <w:p>
      <w:pPr>
        <w:pStyle w:val="FirstParagraph"/>
        <w:rPr/>
      </w:pPr>
      <w:r>
        <w:rPr/>
        <w:t>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missed BLAST hits. After decontamination, and removal of singletons we obtained 4,971,645 reads representing 231 ASVs from 160 samples composed of 25.88% Ascomycota, 73.1% Basidiomycota, 0.01% Chytridiomycota, &lt;0.1% Mortierellomycota, 0.02% Olpidiomycota, &lt;0.002% Rozellomycota and &lt;1.0% unknown reads.</w:t>
      </w:r>
    </w:p>
    <w:p>
      <w:pPr>
        <w:pStyle w:val="BodyText"/>
        <w:rPr/>
      </w:pPr>
      <w:r>
        <w:rPr/>
        <w:t xml:space="preserve">We found that leaf functional traits differed among and within </w:t>
      </w:r>
      <w:r>
        <w:rPr>
          <w:i/>
          <w:iCs/>
        </w:rPr>
        <w:t>Mimulus</w:t>
      </w:r>
      <w:r>
        <w:rPr/>
        <w:t xml:space="preserve"> species across elevation (Fig. S2 - S6). For LMA, when we observed all host species, we saw a statistically significant positive correlation between LMA and elevation (R</w:t>
      </w:r>
      <w:r>
        <w:rPr>
          <w:vertAlign w:val="superscript"/>
        </w:rPr>
        <w:t>2</w:t>
      </w:r>
      <w:r>
        <w:rPr/>
        <w:t xml:space="preserve">-adjusted = .041, </w:t>
      </w:r>
      <w:r>
        <w:rPr>
          <w:i/>
          <w:iCs/>
        </w:rPr>
        <w:t>p</w:t>
      </w:r>
      <w:r>
        <w:rPr/>
        <w:t xml:space="preserve"> &lt; .001, Fig. S2B). When we observed this relationship with categorical elevation, we found that species do not differ in LMA values at low elevations (Fig. S2B). At mid elevations, </w:t>
      </w:r>
      <w:r>
        <w:rPr>
          <w:i/>
          <w:iCs/>
        </w:rPr>
        <w:t>M. laciniatus</w:t>
      </w:r>
      <w:r>
        <w:rPr/>
        <w:t xml:space="preserve"> and </w:t>
      </w:r>
      <w:r>
        <w:rPr>
          <w:i/>
          <w:iCs/>
        </w:rPr>
        <w:t>M. guttatus</w:t>
      </w:r>
      <w:r>
        <w:rPr/>
        <w:t xml:space="preserve"> have statistically significant differences in LMA (</w:t>
      </w:r>
      <w:r>
        <w:rPr>
          <w:i/>
          <w:iCs/>
        </w:rPr>
        <w:t>p</w:t>
      </w:r>
      <w:r>
        <w:rPr/>
        <w:t xml:space="preserve"> &lt; .001), while at high elevation this difference dissipates. At high elevation we saw that </w:t>
      </w:r>
      <w:r>
        <w:rPr>
          <w:i/>
          <w:iCs/>
        </w:rPr>
        <w:t>M. nasutus</w:t>
      </w:r>
      <w:r>
        <w:rPr/>
        <w:t xml:space="preserve"> differs significantly from both </w:t>
      </w:r>
      <w:r>
        <w:rPr>
          <w:i/>
          <w:iCs/>
        </w:rPr>
        <w:t>M. laciniatus</w:t>
      </w:r>
      <w:r>
        <w:rPr/>
        <w:t xml:space="preserve"> and </w:t>
      </w:r>
      <w:r>
        <w:rPr>
          <w:i/>
          <w:iCs/>
        </w:rPr>
        <w:t>M. guttatus</w:t>
      </w:r>
      <w:r>
        <w:rPr/>
        <w:t xml:space="preserve"> (</w:t>
      </w:r>
      <w:r>
        <w:rPr>
          <w:i/>
          <w:iCs/>
        </w:rPr>
        <w:t>p</w:t>
      </w:r>
      <w:r>
        <w:rPr/>
        <w:t xml:space="preserve"> &lt; .0001, Fig. S3A). For ACI, when we observed all species, we found no correlation with elevation (R</w:t>
      </w:r>
      <w:r>
        <w:rPr>
          <w:vertAlign w:val="superscript"/>
        </w:rPr>
        <w:t>2</w:t>
      </w:r>
      <w:r>
        <w:rPr/>
        <w:t xml:space="preserve">-adjusted &lt; -.000, </w:t>
      </w:r>
      <w:r>
        <w:rPr>
          <w:i/>
          <w:iCs/>
        </w:rPr>
        <w:t>p</w:t>
      </w:r>
      <w:r>
        <w:rPr/>
        <w:t xml:space="preserve"> &lt; .0001, Fig. S3B).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S3A).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S3A).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.0001)(Fig. S3A). The LBI trait is a measure of leaf “lobeness” and it is confounded with species, since not all host species exhibit the trait plasticity with elevation change. Regardless, our comparisons show that LBI is significantly correlated with elevation (Fig. S3B).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S4A). At low elevations, </w:t>
      </w:r>
      <w:r>
        <w:rPr>
          <w:i/>
          <w:iCs/>
        </w:rPr>
        <w:t>M. nasutus</w:t>
      </w:r>
      <w:r>
        <w:rPr/>
        <w:t xml:space="preserve"> and </w:t>
      </w:r>
      <w:r>
        <w:rPr>
          <w:i/>
          <w:iCs/>
        </w:rPr>
        <w:t>M. guttatus</w:t>
      </w:r>
      <w:r>
        <w:rPr/>
        <w:t xml:space="preserve"> did not differ, but they did have significant differences at high elevations (p &lt; .0001, Fig. S4A). Our measure of leaf toughness, LPS, was significantly positively correlated with elevation (R</w:t>
      </w:r>
      <w:r>
        <w:rPr>
          <w:vertAlign w:val="superscript"/>
        </w:rPr>
        <w:t>2</w:t>
      </w:r>
      <w:r>
        <w:rPr/>
        <w:t xml:space="preserve">-adjusted = .004, </w:t>
      </w:r>
      <w:r>
        <w:rPr>
          <w:i/>
          <w:iCs/>
        </w:rPr>
        <w:t>p</w:t>
      </w:r>
      <w:r>
        <w:rPr/>
        <w:t xml:space="preserve"> = .032, Fig. S5B).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S5A).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S5A). Finally, we saw a significant positive correlation between LT and elevation (R</w:t>
      </w:r>
      <w:r>
        <w:rPr>
          <w:vertAlign w:val="superscript"/>
        </w:rPr>
        <w:t>2</w:t>
      </w:r>
      <w:r>
        <w:rPr/>
        <w:t xml:space="preserve">-adjusted = .013, </w:t>
      </w:r>
      <w:r>
        <w:rPr>
          <w:i/>
          <w:iCs/>
        </w:rPr>
        <w:t>p</w:t>
      </w:r>
      <w:r>
        <w:rPr/>
        <w:t xml:space="preserve"> &lt; .0001), when we observe all species together (Fig. S6B). We only see statistically significant differences between </w:t>
      </w:r>
      <w:r>
        <w:rPr>
          <w:i/>
          <w:iCs/>
        </w:rPr>
        <w:t>M. laciniatus</w:t>
      </w:r>
      <w:r>
        <w:rPr/>
        <w:t xml:space="preserve"> and </w:t>
      </w:r>
      <w:r>
        <w:rPr>
          <w:i/>
          <w:iCs/>
        </w:rPr>
        <w:t>M. nasutus</w:t>
      </w:r>
      <w:r>
        <w:rPr/>
        <w:t xml:space="preserve"> at low elevations(</w:t>
      </w:r>
      <w:r>
        <w:rPr>
          <w:i/>
          <w:iCs/>
        </w:rPr>
        <w:t>p</w:t>
      </w:r>
      <w:r>
        <w:rPr/>
        <w:t xml:space="preserve"> &lt; .05 ),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S6A). At high elevations, </w:t>
      </w:r>
      <w:r>
        <w:rPr>
          <w:i/>
          <w:iCs/>
        </w:rPr>
        <w:t>M. guttatus</w:t>
      </w:r>
      <w:r>
        <w:rPr/>
        <w:t xml:space="preserve"> and </w:t>
      </w:r>
      <w:r>
        <w:rPr>
          <w:i/>
          <w:iCs/>
        </w:rPr>
        <w:t>M. nasutus</w:t>
      </w:r>
      <w:r>
        <w:rPr/>
        <w:t xml:space="preserve"> also show significant differences (</w:t>
      </w:r>
      <w:r>
        <w:rPr>
          <w:i/>
          <w:iCs/>
        </w:rPr>
        <w:t>p</w:t>
      </w:r>
      <w:r>
        <w:rPr/>
        <w:t xml:space="preserve"> &lt; .0001, Fig. S6A).</w:t>
      </w:r>
    </w:p>
    <w:p>
      <w:pPr>
        <w:pStyle w:val="BodyText"/>
        <w:rPr/>
      </w:pPr>
      <w:r>
        <w:rPr/>
        <w:t>Our PCA analysis showed how leaf functional traits were related. We plotted leaf functional traits according to species groups on the PCA axes to show how the variance in the complete data set is explained by PC1 (42.57%) and PC2 (23.27%) (</w:t>
      </w:r>
      <w:r>
        <w:rPr/>
        <w:t>Fig. 1</w:t>
      </w:r>
      <w:r>
        <w:rPr/>
        <w:t xml:space="preserve">). The PCA analyses showed correlations between ACI, LT, LPS, and LMA as loadings tracked along PC1 towards positive values (Fig. 1).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overlap along PC1 and PC2 (Fig. 1).</w:t>
      </w:r>
    </w:p>
    <w:p>
      <w:pPr>
        <w:pStyle w:val="BodyText"/>
        <w:rPr/>
      </w:pPr>
      <w:r>
        <w:rPr/>
        <w:t>To determine the correlation between FEF diversity and elevation, we calculated simple linear regressions between elevation and alpha diversity (Q3). At the species level, we did not observe a significant change in alpha diversity as elevation increased (Fig. 2A - 2C). Nevertheless, the general trend was a decline in alpha diversity as elevation increased (Fig. 2). When we observed the complete data set we did see a statistically significant negative correlation between elevation and observed richness (𝑞 = 0) (R</w:t>
      </w:r>
      <w:r>
        <w:rPr>
          <w:vertAlign w:val="superscript"/>
        </w:rPr>
        <w:t>2</w:t>
      </w:r>
      <w:r>
        <w:rPr/>
        <w:t xml:space="preserve">-adjusted = .05, </w:t>
      </w:r>
      <w:r>
        <w:rPr>
          <w:i/>
          <w:iCs/>
        </w:rPr>
        <w:t>F</w:t>
      </w:r>
      <w:r>
        <w:rPr>
          <w:vertAlign w:val="subscript"/>
        </w:rPr>
        <w:t>158</w:t>
      </w:r>
      <w:r>
        <w:rPr/>
        <w:t xml:space="preserve">= 6.795, </w:t>
      </w:r>
      <w:r>
        <w:rPr>
          <w:i/>
          <w:iCs/>
        </w:rPr>
        <w:t>p</w:t>
      </w:r>
      <w:r>
        <w:rPr/>
        <w:t xml:space="preserve"> = .01), the exponent of Shannon’s Diversity index (𝑞 = 1) (R</w:t>
      </w:r>
      <w:r>
        <w:rPr>
          <w:vertAlign w:val="superscript"/>
        </w:rPr>
        <w:t>2</w:t>
      </w:r>
      <w:r>
        <w:rPr/>
        <w:t xml:space="preserve">-adjusted = .08, </w:t>
      </w:r>
      <w:r>
        <w:rPr>
          <w:i/>
          <w:iCs/>
        </w:rPr>
        <w:t>F</w:t>
      </w:r>
      <w:r>
        <w:rPr>
          <w:vertAlign w:val="subscript"/>
        </w:rPr>
        <w:t>158</w:t>
      </w:r>
      <w:r>
        <w:rPr/>
        <w:t xml:space="preserve">= 15.06, </w:t>
      </w:r>
      <w:r>
        <w:rPr>
          <w:i/>
          <w:iCs/>
        </w:rPr>
        <w:t>p</w:t>
      </w:r>
      <w:r>
        <w:rPr/>
        <w:t xml:space="preserve"> &lt; .001), and the Inverse Simpson’s Diversity (𝑞 = 2) (R</w:t>
      </w:r>
      <w:r>
        <w:rPr>
          <w:vertAlign w:val="superscript"/>
        </w:rPr>
        <w:t>2</w:t>
      </w:r>
      <w:r>
        <w:rPr/>
        <w:t xml:space="preserve">-adjusted = .08, </w:t>
      </w:r>
      <w:r>
        <w:rPr>
          <w:i/>
          <w:iCs/>
        </w:rPr>
        <w:t>F</w:t>
      </w:r>
      <w:r>
        <w:rPr>
          <w:vertAlign w:val="subscript"/>
        </w:rPr>
        <w:t>158</w:t>
      </w:r>
      <w:r>
        <w:rPr/>
        <w:t xml:space="preserve">= 14.24, </w:t>
      </w:r>
      <w:r>
        <w:rPr>
          <w:i/>
          <w:iCs/>
        </w:rPr>
        <w:t>p</w:t>
      </w:r>
      <w:r>
        <w:rPr/>
        <w:t xml:space="preserve"> &lt; .001). We found statistically significant differences in alpha diversity between </w:t>
      </w:r>
      <w:r>
        <w:rPr>
          <w:i/>
          <w:iCs/>
        </w:rPr>
        <w:t>M. laciniatus</w:t>
      </w:r>
      <w:r>
        <w:rPr/>
        <w:t xml:space="preserve"> and </w:t>
      </w:r>
      <w:r>
        <w:rPr>
          <w:i/>
          <w:iCs/>
        </w:rPr>
        <w:t>M. guttatus</w:t>
      </w:r>
      <w:r>
        <w:rPr/>
        <w:t xml:space="preserve"> (Fig. 3A - 3C), while </w:t>
      </w:r>
      <w:r>
        <w:rPr>
          <w:i/>
          <w:iCs/>
        </w:rPr>
        <w:t>M. nasutus</w:t>
      </w:r>
      <w:r>
        <w:rPr/>
        <w:t xml:space="preserve"> differed significantly from </w:t>
      </w:r>
      <w:r>
        <w:rPr>
          <w:i/>
          <w:iCs/>
        </w:rPr>
        <w:t>M. laciniatus</w:t>
      </w:r>
      <w:r>
        <w:rPr/>
        <w:t xml:space="preserve"> in Hill order 1 (𝑞 = 1) (</w:t>
      </w:r>
      <w:r>
        <w:rPr>
          <w:i/>
          <w:iCs/>
        </w:rPr>
        <w:t>p</w:t>
      </w:r>
      <w:r>
        <w:rPr/>
        <w:t xml:space="preserve"> &lt; .01) and Hill order 2 (𝑞 = 2) (</w:t>
      </w:r>
      <w:r>
        <w:rPr>
          <w:i/>
          <w:iCs/>
        </w:rPr>
        <w:t>p</w:t>
      </w:r>
      <w:r>
        <w:rPr/>
        <w:t xml:space="preserve"> &lt; .05). We observed statistically significant differences in beta diversity between low and high elevation sites for Hill order 1 (</w:t>
      </w:r>
      <w:r>
        <w:rPr>
          <w:i/>
          <w:iCs/>
        </w:rPr>
        <w:t>p</w:t>
      </w:r>
      <w:r>
        <w:rPr/>
        <w:t xml:space="preserve"> &lt; .01) and 2 (</w:t>
      </w:r>
      <w:r>
        <w:rPr>
          <w:i/>
          <w:iCs/>
        </w:rPr>
        <w:t>p</w:t>
      </w:r>
      <w:r>
        <w:rPr/>
        <w:t xml:space="preserve"> &lt; 0.05, (</w:t>
      </w:r>
      <w:r>
        <w:rPr>
          <w:b/>
          <w:bCs/>
        </w:rPr>
        <w:t>violin_hill_ordersE?</w:t>
      </w:r>
      <w:r>
        <w:rPr/>
        <w:t>) - (</w:t>
      </w:r>
      <w:r>
        <w:rPr>
          <w:b/>
          <w:bCs/>
        </w:rPr>
        <w:t>violin_hill_ordersF?</w:t>
      </w:r>
      <w:r>
        <w:rPr/>
        <w:t>)). We also observed statistically significant differences in Hill order 0 (𝑞 = 0) between mid in high elevation sites (Fig. 3D). The presence of Ascomycota and Basidiomycota was consistent across all sites and species, with Basidiomycota being the most abundant phylum across all samples (Fig. 4). MAYBE ADD SOME MORE INFO HERE. SOON. Indicator species reaveled no correlations.</w:t>
      </w:r>
    </w:p>
    <w:p>
      <w:pPr>
        <w:pStyle w:val="BodyText"/>
        <w:rPr/>
      </w:pPr>
      <w:r>
        <w:rPr/>
        <w:t>To test for differences in FEF community composition, we used a distance-based Redundancy Analysis (dbRDA) to model the relationship between FEF communities, leaf functional traits and elevation (Q3). The analyses revealed that 4.30% of the overall variance inf FEF communities was accounted for by the leaf functional traits and elevation, the constraining variables. We saw that the first axis (dbRDA1) explained 40.8% and the second axis (dbRDA2) explained 27% of the constrained variance (Fig. 5). We observed a distinct, yet overlapping, grouping of FEF communities by species (Fig. 5A), as well as when visualized by elevation category (Fig. 5B). Elevation tracks along the dbRDA1 axis while leaf functional traits track along the dbRDA2 axis (Fig. 5). We found that LBI and elevation are significantly correlated with FEF communities (PERMANOVA TABLE COMMING SOON). To corroborate our findings, we used a permutational analysis of multivariate dispersion (PERMDISP) to test for homogeneity of variances in FEF communities. We found that FEF communities were homogeneous across all species (</w:t>
      </w:r>
      <w:r>
        <w:rPr>
          <w:i/>
          <w:iCs/>
        </w:rPr>
        <w:t>F</w:t>
      </w:r>
      <w:r>
        <w:rPr>
          <w:vertAlign w:val="subscript"/>
        </w:rPr>
        <w:t>157</w:t>
      </w:r>
      <w:r>
        <w:rPr/>
        <w:t xml:space="preserve">= 2.66, </w:t>
      </w:r>
      <w:r>
        <w:rPr>
          <w:i/>
          <w:iCs/>
        </w:rPr>
        <w:t>p</w:t>
      </w:r>
      <w:r>
        <w:rPr/>
        <w:t xml:space="preserve"> = .07). The post-hoc Tukey’s test revealed that all species comparison were not significant. We did find statistically significant differences in the dispersion of FEF communities by elevation category (</w:t>
      </w:r>
      <w:r>
        <w:rPr>
          <w:i/>
          <w:iCs/>
        </w:rPr>
        <w:t>F</w:t>
      </w:r>
      <w:r>
        <w:rPr>
          <w:vertAlign w:val="subscript"/>
        </w:rPr>
        <w:t>157</w:t>
      </w:r>
      <w:r>
        <w:rPr/>
        <w:t xml:space="preserve">= 3.89, </w:t>
      </w:r>
      <w:r>
        <w:rPr>
          <w:i/>
          <w:iCs/>
        </w:rPr>
        <w:t>p</w:t>
      </w:r>
      <w:r>
        <w:rPr/>
        <w:t xml:space="preserve"> = .02). The post-hoc Tukey’s test showed that low and high elevation sites had significantly different dispersion of FEF communities (</w:t>
      </w:r>
      <w:r>
        <w:rPr>
          <w:i/>
          <w:iCs/>
        </w:rPr>
        <w:t>p</w:t>
      </w:r>
      <w:r>
        <w:rPr/>
        <w:t xml:space="preserve"> &lt; .05). Finally, we tested for FEF community dissimilarity by geographical distance and found a statistically significant positive correlation when we observed all host species (</w:t>
      </w:r>
      <w:r>
        <w:rPr>
          <w:i/>
          <w:iCs/>
        </w:rPr>
        <w:t>r</w:t>
      </w:r>
      <w:r>
        <w:rPr/>
        <w:t xml:space="preserve"> = .06, </w:t>
      </w:r>
      <w:r>
        <w:rPr>
          <w:i/>
          <w:iCs/>
        </w:rPr>
        <w:t>p</w:t>
      </w:r>
      <w:r>
        <w:rPr/>
        <w:t xml:space="preserve"> &lt; .01, Fig. 6A). At the host species level, we saw no significant correlation between FEF community and geographical distance for </w:t>
      </w:r>
      <w:r>
        <w:rPr>
          <w:i/>
          <w:iCs/>
        </w:rPr>
        <w:t>M. laciniatus</w:t>
      </w:r>
      <w:r>
        <w:rPr/>
        <w:t xml:space="preserve"> (</w:t>
      </w:r>
      <w:r>
        <w:rPr>
          <w:i/>
          <w:iCs/>
        </w:rPr>
        <w:t>r</w:t>
      </w:r>
      <w:r>
        <w:rPr/>
        <w:t xml:space="preserve"> = 0.03, </w:t>
      </w:r>
      <w:r>
        <w:rPr>
          <w:i/>
          <w:iCs/>
        </w:rPr>
        <w:t>p</w:t>
      </w:r>
      <w:r>
        <w:rPr/>
        <w:t xml:space="preserve"> = 0.26) and </w:t>
      </w:r>
      <w:r>
        <w:rPr>
          <w:i/>
          <w:iCs/>
        </w:rPr>
        <w:t>M. guttatus</w:t>
      </w:r>
      <w:r>
        <w:rPr/>
        <w:t xml:space="preserve"> (</w:t>
      </w:r>
      <w:r>
        <w:rPr>
          <w:i/>
          <w:iCs/>
        </w:rPr>
        <w:t>r</w:t>
      </w:r>
      <w:r>
        <w:rPr/>
        <w:t xml:space="preserve"> = .05, </w:t>
      </w:r>
      <w:r>
        <w:rPr>
          <w:i/>
          <w:iCs/>
        </w:rPr>
        <w:t>p</w:t>
      </w:r>
      <w:r>
        <w:rPr/>
        <w:t xml:space="preserve"> = .15, Fig. 6B). For </w:t>
      </w:r>
      <w:r>
        <w:rPr>
          <w:i/>
          <w:iCs/>
        </w:rPr>
        <w:t>M. nasutus</w:t>
      </w:r>
      <w:r>
        <w:rPr/>
        <w:t xml:space="preserve"> we saw an opposite trend, we saw a negative correlation between FEF communities and geographic distance (</w:t>
      </w:r>
      <w:r>
        <w:rPr>
          <w:i/>
          <w:iCs/>
        </w:rPr>
        <w:t>r</w:t>
      </w:r>
      <w:r>
        <w:rPr/>
        <w:t xml:space="preserve"> = .20, </w:t>
      </w:r>
      <w:r>
        <w:rPr>
          <w:i/>
          <w:iCs/>
        </w:rPr>
        <w:t>p</w:t>
      </w:r>
      <w:r>
        <w:rPr/>
        <w:t xml:space="preserve"> = .001, Fig. 6B).</w:t>
      </w:r>
      <w:bookmarkEnd w:id="13"/>
    </w:p>
    <w:p>
      <w:pPr>
        <w:pStyle w:val="Heading1"/>
        <w:rPr/>
      </w:pPr>
      <w:bookmarkStart w:id="14" w:name="discussion"/>
      <w:r>
        <w:rPr/>
        <w:t>5. Discussion</w:t>
      </w:r>
    </w:p>
    <w:p>
      <w:pPr>
        <w:pStyle w:val="FirstParagraph"/>
        <w:rPr/>
      </w:pPr>
      <w:r>
        <w:rPr/>
        <w:t xml:space="preserve">Our results show how leaf functional traits differ among and within </w:t>
      </w:r>
      <w:r>
        <w:rPr>
          <w:i/>
          <w:iCs/>
        </w:rPr>
        <w:t>Mimulus</w:t>
      </w:r>
      <w:r>
        <w:rPr/>
        <w:t xml:space="preserve"> species across elevation. Specifically LMA, LBI, LPS and LT, show a positive correlation with elevation at the genus level, reflecting a conserved plastic response to environmental changes along elevation. Principal Component Analysis (PCA) (Fig 1)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The distinct grouping of host species along LBI trait reflects findings by XXXXX and XXXXX in previous studies showing how lobed leaves are more common in alpine environments, where they are thought to be an adaptation to reduce water loss and increase heat dissipation [CITE]. </w:t>
      </w:r>
      <w:r>
        <w:rPr>
          <w:i/>
          <w:iCs/>
        </w:rPr>
        <w:t>Mimulus laciniatus</w:t>
      </w:r>
      <w:r>
        <w:rPr/>
        <w:t xml:space="preserve"> is considered the most lobed species (Fig. 1 and Fig. S4)[CITE all evidence here], and thrives at higher elevation. We observed higher FEF abundances in mid and high elevations in </w:t>
      </w:r>
      <w:r>
        <w:rPr>
          <w:i/>
          <w:iCs/>
        </w:rPr>
        <w:t>M. laciniatus</w:t>
      </w:r>
      <w:r>
        <w:rPr/>
        <w:t xml:space="preserve"> compared to </w:t>
      </w:r>
      <w:r>
        <w:rPr>
          <w:i/>
          <w:iCs/>
        </w:rPr>
        <w:t>M. nasutus</w:t>
      </w:r>
      <w:r>
        <w:rPr/>
        <w:t xml:space="preserve"> and </w:t>
      </w:r>
      <w:r>
        <w:rPr>
          <w:i/>
          <w:iCs/>
        </w:rPr>
        <w:t>M. guttatus</w:t>
      </w:r>
      <w:r>
        <w:rPr/>
        <w:t xml:space="preserve"> ((</w:t>
      </w:r>
      <w:r>
        <w:rPr>
          <w:b/>
          <w:bCs/>
        </w:rPr>
        <w:t>scatter_hill_orders?</w:t>
      </w:r>
      <w:r>
        <w:rPr/>
        <w:t>)) and our evidence suggests that LBI plays a important role in shaping FEF communities compared other leaf traits, yet the strongest predictor is elevation. This pattern did not translate to higher richness or diversity, since alpha and beta diversity in FEF communities significantly decreased with increasing elevation at the genus level. This trend echos well known ecological patterns of community ecology, generally as elevation increases, species richness and diversity decreases (CITE).</w:t>
      </w:r>
    </w:p>
    <w:p>
      <w:pPr>
        <w:pStyle w:val="BodyText"/>
        <w:rPr/>
      </w:pPr>
      <w:r>
        <w:rPr/>
        <w:t>Our dbRDA results ((</w:t>
      </w:r>
      <w:r>
        <w:rPr>
          <w:b/>
          <w:bCs/>
        </w:rPr>
        <w:t>dbrda_plot?</w:t>
      </w:r>
      <w:r>
        <w:rPr/>
        <w:t>)) indicate that LBI and elevation together account for 4.30% of the variance in FEF community composition. Subsequent PERMDISP analyses also support significant differences in FEF community composition at high and low elevations. Further insight from our Mantel tests indicates a significant correlation between FEF community dissimilarity and geographical distance at the genus level, rather than at the host species level. This provides additional evidence supporting our hypothesis that alpha diversity would be similar and beta diversity between sites irrespective of host species. Contrary to our results, Kivlin et al. (2022) demonstrated that leaf-associated endophytes are more strongly influenced by perennial grass host species than by elevation. Our findings did not support the idea that distinct FEF communities are structured by annual herbaceous plants.</w:t>
      </w:r>
    </w:p>
    <w:p>
      <w:pPr>
        <w:pStyle w:val="BodyText"/>
        <w:rPr/>
      </w:pPr>
      <w:r>
        <w:rPr/>
        <w:t xml:space="preserve">PAPERS TO REVIEW FOR THIS DISCUSSION - Kivlin et al. 2022 - </w:t>
      </w:r>
      <w:hyperlink r:id="rId3">
        <w:r>
          <w:rPr>
            <w:rStyle w:val="Hyperlink"/>
          </w:rPr>
          <w:t>Bowman and Arnold 2020</w:t>
        </w:r>
      </w:hyperlink>
      <w:bookmarkEnd w:id="14"/>
    </w:p>
    <w:p>
      <w:pPr>
        <w:pStyle w:val="Heading1"/>
        <w:rPr/>
      </w:pPr>
      <w:bookmarkStart w:id="15" w:name="conclusion"/>
      <w:r>
        <w:rPr/>
        <w:t>6. Conclusion</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contributuion to this field of study, opening up new avenues or inquiry. The further our understanding, future research should explore the interactions of FEF communities and </w:t>
      </w:r>
      <w:r>
        <w:rPr>
          <w:i/>
          <w:iCs/>
        </w:rPr>
        <w:t>Mimulus</w:t>
      </w:r>
      <w:r>
        <w:rPr/>
        <w:t xml:space="preserve"> host genotypes the resulting expanded phenotype. To optimize microbial studies in </w:t>
      </w:r>
      <w:r>
        <w:rPr>
          <w:i/>
          <w:iCs/>
        </w:rPr>
        <w:t>Mimulus</w:t>
      </w:r>
      <w:r>
        <w:rPr/>
        <w:t>, it may be beneficial to explore alternative sampling methods such as using fresh tissue or rapidly preserved tissue in liquid nitrogen, which is known to yield the best results. We also acknowledge our limited scope and urge future investigations to expand their sampling efforts per species and populations while prioritizing prompt DNA extraction to enhance FEF capture.</w:t>
      </w:r>
      <w:bookmarkEnd w:id="15"/>
    </w:p>
    <w:p>
      <w:pPr>
        <w:pStyle w:val="Heading1"/>
        <w:rPr/>
      </w:pPr>
      <w:bookmarkStart w:id="16" w:name="author-contributions"/>
      <w:r>
        <w:rPr/>
        <w:t>7. Author Contributions</w:t>
      </w:r>
      <w:bookmarkEnd w:id="16"/>
    </w:p>
    <w:p>
      <w:pPr>
        <w:pStyle w:val="Heading1"/>
        <w:rPr/>
      </w:pPr>
      <w:bookmarkStart w:id="17" w:name="acknowledgements"/>
      <w:r>
        <w:rPr/>
        <w:t>8. Acknowledgements</w:t>
      </w:r>
      <w:bookmarkEnd w:id="17"/>
    </w:p>
    <w:p>
      <w:pPr>
        <w:pStyle w:val="Heading1"/>
        <w:rPr/>
      </w:pPr>
      <w:bookmarkStart w:id="18" w:name="conflict-of-interest-statement"/>
      <w:r>
        <w:rPr/>
        <w:t>9. Conflict of Interest Statement</w:t>
      </w:r>
    </w:p>
    <w:p>
      <w:pPr>
        <w:pStyle w:val="FirstParagraph"/>
        <w:rPr/>
      </w:pPr>
      <w:bookmarkStart w:id="19" w:name="conflict-of-interest-statement"/>
      <w:r>
        <w:rPr/>
        <w:t>The authors declare no competing interests.</w:t>
      </w:r>
      <w:bookmarkEnd w:id="19"/>
    </w:p>
    <w:p>
      <w:pPr>
        <w:pStyle w:val="Heading1"/>
        <w:rPr/>
      </w:pPr>
      <w:bookmarkStart w:id="20" w:name="data-availability-statement"/>
      <w:r>
        <w:rPr/>
        <w:t>10. Data Availability Statement</w:t>
      </w:r>
      <w:bookmarkEnd w:id="20"/>
    </w:p>
    <w:p>
      <w:pPr>
        <w:pStyle w:val="Heading1"/>
        <w:rPr/>
      </w:pPr>
      <w:bookmarkStart w:id="21" w:name="references"/>
      <w:r>
        <w:rPr/>
        <w:t>11. References</w:t>
      </w:r>
    </w:p>
    <w:p>
      <w:pPr>
        <w:pStyle w:val="Bibliography"/>
        <w:rPr/>
      </w:pPr>
      <w:bookmarkStart w:id="22" w:name="refs"/>
      <w:bookmarkStart w:id="23"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4">
        <w:r>
          <w:rPr>
            <w:rStyle w:val="Hyperlink"/>
          </w:rPr>
          <w:t>https://doi.org/10.15156/BIO/2938067</w:t>
        </w:r>
      </w:hyperlink>
      <w:bookmarkEnd w:id="23"/>
    </w:p>
    <w:p>
      <w:pPr>
        <w:pStyle w:val="Bibliography"/>
        <w:rPr/>
      </w:pPr>
      <w:bookmarkStart w:id="24" w:name="ref-anderson2017"/>
      <w:r>
        <w:rPr/>
        <w:t xml:space="preserve">Anderson, M. J. (2017). Permutational Multivariate Analysis of Variance ( PERMANOVA ). In </w:t>
      </w:r>
      <w:r>
        <w:rPr>
          <w:i/>
          <w:iCs/>
        </w:rPr>
        <w:t>Wiley StatsRef: Statistics Reference Online</w:t>
      </w:r>
      <w:r>
        <w:rPr/>
        <w:t xml:space="preserve"> (pp. 1–15). Wiley. </w:t>
      </w:r>
      <w:hyperlink r:id="rId5">
        <w:r>
          <w:rPr>
            <w:rStyle w:val="Hyperlink"/>
          </w:rPr>
          <w:t>https://doi.org/10.1002/9781118445112.stat07841</w:t>
        </w:r>
      </w:hyperlink>
      <w:bookmarkEnd w:id="24"/>
    </w:p>
    <w:p>
      <w:pPr>
        <w:pStyle w:val="Bibliography"/>
        <w:rPr/>
      </w:pPr>
      <w:bookmarkStart w:id="25" w:name="ref-andrews2010"/>
      <w:r>
        <w:rPr/>
        <w:t xml:space="preserve">Andrews, S., Krueger, F., Segonds-Pichon, A., Biggins, L., Krueger, C., &amp; Wingett, S. (2010). </w:t>
      </w:r>
      <w:r>
        <w:rPr>
          <w:i/>
          <w:iCs/>
        </w:rPr>
        <w:t>FastQC</w:t>
      </w:r>
      <w:r>
        <w:rPr/>
        <w:t xml:space="preserve"> (Version 0.12.1) [Computer software]. Babraham Institute.</w:t>
      </w:r>
      <w:bookmarkEnd w:id="25"/>
    </w:p>
    <w:p>
      <w:pPr>
        <w:pStyle w:val="Bibliography"/>
        <w:rPr/>
      </w:pPr>
      <w:bookmarkStart w:id="26" w:name="ref-aponterolon2023"/>
      <w:r>
        <w:rPr/>
        <w:t xml:space="preserve">Aponte Rolón, B. (2023, July 3). </w:t>
      </w:r>
      <w:r>
        <w:rPr>
          <w:i/>
          <w:iCs/>
        </w:rPr>
        <w:t>High-Molecular-Weight SPRI-aided DNA extraction from Mimulus (Phrymaceae) leaf tissue.</w:t>
      </w:r>
      <w:r>
        <w:rPr/>
        <w:t xml:space="preserve"> </w:t>
      </w:r>
      <w:hyperlink r:id="rId6">
        <w:r>
          <w:rPr>
            <w:rStyle w:val="Hyperlink"/>
          </w:rPr>
          <w:t>https://doi.org/dx.doi.org/10.17504/protocols.io.bp2l6xn8rlqe/v2</w:t>
        </w:r>
      </w:hyperlink>
      <w:bookmarkEnd w:id="26"/>
    </w:p>
    <w:p>
      <w:pPr>
        <w:pStyle w:val="Bibliography"/>
        <w:rPr/>
      </w:pPr>
      <w:bookmarkStart w:id="27"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7"/>
    </w:p>
    <w:p>
      <w:pPr>
        <w:pStyle w:val="Bibliography"/>
        <w:rPr/>
      </w:pPr>
      <w:bookmarkStart w:id="28" w:name="ref-beslile2012"/>
      <w:r>
        <w:rPr/>
        <w:t xml:space="preserve">Beslile, M., Peay, K. G., &amp; Fukami, T. (2012). Flowers as islands: Spatial distribution of nectar-inhabiting microfungi among plants of Mimulus aurantiacus, a hummingbird-pollinated shrub. </w:t>
      </w:r>
      <w:r>
        <w:rPr>
          <w:i/>
          <w:iCs/>
        </w:rPr>
        <w:t>Microbial Ecology</w:t>
      </w:r>
      <w:r>
        <w:rPr/>
        <w:t xml:space="preserve">, </w:t>
      </w:r>
      <w:r>
        <w:rPr>
          <w:i/>
          <w:iCs/>
        </w:rPr>
        <w:t>63</w:t>
      </w:r>
      <w:r>
        <w:rPr/>
        <w:t xml:space="preserve">(4), 711–718. </w:t>
      </w:r>
      <w:hyperlink r:id="rId7">
        <w:r>
          <w:rPr>
            <w:rStyle w:val="Hyperlink"/>
          </w:rPr>
          <w:t>https://doi.org/10.1007/s00248-011-9975-8.Flowers</w:t>
        </w:r>
      </w:hyperlink>
      <w:bookmarkEnd w:id="28"/>
    </w:p>
    <w:p>
      <w:pPr>
        <w:pStyle w:val="Bibliography"/>
        <w:rPr/>
      </w:pPr>
      <w:bookmarkStart w:id="29"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8">
        <w:r>
          <w:rPr>
            <w:rStyle w:val="Hyperlink"/>
          </w:rPr>
          <w:t>https://doi.org/10.1038/nmeth.3869</w:t>
        </w:r>
      </w:hyperlink>
      <w:bookmarkEnd w:id="29"/>
    </w:p>
    <w:p>
      <w:pPr>
        <w:pStyle w:val="Bibliography"/>
        <w:rPr/>
      </w:pPr>
      <w:bookmarkStart w:id="30"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9">
        <w:r>
          <w:rPr>
            <w:rStyle w:val="Hyperlink"/>
          </w:rPr>
          <w:t>https://doi.org/10.1186/s40168-018-0605-2</w:t>
        </w:r>
      </w:hyperlink>
      <w:bookmarkEnd w:id="30"/>
    </w:p>
    <w:p>
      <w:pPr>
        <w:pStyle w:val="Bibliography"/>
        <w:rPr/>
      </w:pPr>
      <w:bookmarkStart w:id="31"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0">
        <w:r>
          <w:rPr>
            <w:rStyle w:val="Hyperlink"/>
          </w:rPr>
          <w:t>https://doi.org/10.1890/08-1823.1</w:t>
        </w:r>
      </w:hyperlink>
      <w:bookmarkEnd w:id="31"/>
    </w:p>
    <w:p>
      <w:pPr>
        <w:pStyle w:val="Bibliography"/>
        <w:rPr/>
      </w:pPr>
      <w:bookmarkStart w:id="32"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11">
        <w:r>
          <w:rPr>
            <w:rStyle w:val="Hyperlink"/>
          </w:rPr>
          <w:t>https://doi.org/10.1093/bioinformatics/btv401</w:t>
        </w:r>
      </w:hyperlink>
      <w:bookmarkEnd w:id="32"/>
    </w:p>
    <w:p>
      <w:pPr>
        <w:pStyle w:val="Bibliography"/>
        <w:rPr/>
      </w:pPr>
      <w:bookmarkStart w:id="33"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12">
        <w:r>
          <w:rPr>
            <w:rStyle w:val="Hyperlink"/>
          </w:rPr>
          <w:t>https://doi.org/10.1093/bioinformatics/btw354</w:t>
        </w:r>
      </w:hyperlink>
      <w:bookmarkEnd w:id="33"/>
    </w:p>
    <w:p>
      <w:pPr>
        <w:pStyle w:val="Bibliography"/>
        <w:rPr/>
      </w:pPr>
      <w:bookmarkStart w:id="34" w:name="ref-ferris2017"/>
      <w:r>
        <w:rPr/>
        <w:t xml:space="preserve">Ferris, K. G., Barnett, L. L., Blackman, B. K., &amp; Willis, J. H. (2017). The genetic architecture of local adaptation and reproductive isolation in sympatry within the Mimulus guttatus species complex. </w:t>
      </w:r>
      <w:r>
        <w:rPr>
          <w:i/>
          <w:iCs/>
        </w:rPr>
        <w:t>Molecular Ecology</w:t>
      </w:r>
      <w:r>
        <w:rPr/>
        <w:t xml:space="preserve">, </w:t>
      </w:r>
      <w:r>
        <w:rPr>
          <w:i/>
          <w:iCs/>
        </w:rPr>
        <w:t>26</w:t>
      </w:r>
      <w:r>
        <w:rPr/>
        <w:t xml:space="preserve">(1), 208–224. </w:t>
      </w:r>
      <w:hyperlink r:id="rId13">
        <w:r>
          <w:rPr>
            <w:rStyle w:val="Hyperlink"/>
          </w:rPr>
          <w:t>https://doi.org/10.1111/mec.13763</w:t>
        </w:r>
      </w:hyperlink>
      <w:bookmarkEnd w:id="34"/>
    </w:p>
    <w:p>
      <w:pPr>
        <w:pStyle w:val="Bibliography"/>
        <w:rPr/>
      </w:pPr>
      <w:bookmarkStart w:id="35"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14">
        <w:r>
          <w:rPr>
            <w:rStyle w:val="Hyperlink"/>
          </w:rPr>
          <w:t>https://doi.org/10.1093/aob/mcv080</w:t>
        </w:r>
      </w:hyperlink>
      <w:bookmarkEnd w:id="35"/>
    </w:p>
    <w:p>
      <w:pPr>
        <w:pStyle w:val="Bibliography"/>
        <w:rPr/>
      </w:pPr>
      <w:bookmarkStart w:id="36"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15">
        <w:r>
          <w:rPr>
            <w:rStyle w:val="Hyperlink"/>
          </w:rPr>
          <w:t>https://doi.org/10.1111/j.1365-294X.1993.tb00005.x</w:t>
        </w:r>
      </w:hyperlink>
      <w:bookmarkEnd w:id="36"/>
    </w:p>
    <w:p>
      <w:pPr>
        <w:pStyle w:val="Bibliography"/>
        <w:rPr/>
      </w:pPr>
      <w:bookmarkStart w:id="37"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16">
        <w:r>
          <w:rPr>
            <w:rStyle w:val="Hyperlink"/>
          </w:rPr>
          <w:t>https://doi.org/10.1016/j.funeco.2013.12.005</w:t>
        </w:r>
      </w:hyperlink>
      <w:bookmarkEnd w:id="37"/>
    </w:p>
    <w:p>
      <w:pPr>
        <w:pStyle w:val="Bibliography"/>
        <w:rPr/>
      </w:pPr>
      <w:bookmarkStart w:id="38" w:name="ref-hijmans2022"/>
      <w:r>
        <w:rPr/>
        <w:t xml:space="preserve">Hijmans, R. J. (2022). </w:t>
      </w:r>
      <w:r>
        <w:rPr>
          <w:i/>
          <w:iCs/>
        </w:rPr>
        <w:t>Geosphere: Spherical trigonometry</w:t>
      </w:r>
      <w:r>
        <w:rPr/>
        <w:t xml:space="preserve"> (R package version 1.5-18) [Computer software].</w:t>
      </w:r>
      <w:bookmarkEnd w:id="38"/>
    </w:p>
    <w:p>
      <w:pPr>
        <w:pStyle w:val="Bibliography"/>
        <w:rPr/>
      </w:pPr>
      <w:bookmarkStart w:id="39"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17">
        <w:r>
          <w:rPr>
            <w:rStyle w:val="Hyperlink"/>
          </w:rPr>
          <w:t>https://doi.org/10.1038/ncomms6320</w:t>
        </w:r>
      </w:hyperlink>
      <w:bookmarkEnd w:id="39"/>
    </w:p>
    <w:p>
      <w:pPr>
        <w:pStyle w:val="Bibliography"/>
        <w:rPr/>
      </w:pPr>
      <w:bookmarkStart w:id="40" w:name="ref-kassambara2023"/>
      <w:r>
        <w:rPr/>
        <w:t xml:space="preserve">Kassambara, A. (2023). </w:t>
      </w:r>
      <w:r>
        <w:rPr>
          <w:i/>
          <w:iCs/>
        </w:rPr>
        <w:t>Rstatix: Pipe-Friendly Framework for Basic Statistical Tests</w:t>
      </w:r>
      <w:r>
        <w:rPr/>
        <w:t xml:space="preserve"> (R package version 0.7.2) [Computer software]. </w:t>
      </w:r>
      <w:hyperlink r:id="rId18">
        <w:r>
          <w:rPr>
            <w:rStyle w:val="Hyperlink"/>
          </w:rPr>
          <w:t>https://rpkgs.datanovia.com/rstatix/</w:t>
        </w:r>
      </w:hyperlink>
      <w:bookmarkEnd w:id="40"/>
    </w:p>
    <w:p>
      <w:pPr>
        <w:pStyle w:val="Bibliography"/>
        <w:rPr/>
      </w:pPr>
      <w:bookmarkStart w:id="41"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19">
        <w:r>
          <w:rPr>
            <w:rStyle w:val="Hyperlink"/>
          </w:rPr>
          <w:t>https://doi.org/10.1038/s43705-022-00107-6</w:t>
        </w:r>
      </w:hyperlink>
      <w:bookmarkEnd w:id="41"/>
    </w:p>
    <w:p>
      <w:pPr>
        <w:pStyle w:val="Bibliography"/>
        <w:rPr/>
      </w:pPr>
      <w:bookmarkStart w:id="42"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20">
        <w:r>
          <w:rPr>
            <w:rStyle w:val="Hyperlink"/>
          </w:rPr>
          <w:t>https://doi.org/10.1890/0012-9615(1999)069[0001:DBRATM]2.0.CO;2</w:t>
        </w:r>
      </w:hyperlink>
      <w:bookmarkEnd w:id="42"/>
    </w:p>
    <w:p>
      <w:pPr>
        <w:pStyle w:val="Bibliography"/>
        <w:rPr/>
      </w:pPr>
      <w:bookmarkStart w:id="43" w:name="ref-legendre2012"/>
      <w:r>
        <w:rPr/>
        <w:t xml:space="preserve">Legendre, P., &amp; Legendre, L. (2012). </w:t>
      </w:r>
      <w:r>
        <w:rPr>
          <w:i/>
          <w:iCs/>
        </w:rPr>
        <w:t>Numerical ecology</w:t>
      </w:r>
      <w:r>
        <w:rPr/>
        <w:t xml:space="preserve"> (3d English edition). Elsevier.</w:t>
      </w:r>
      <w:bookmarkEnd w:id="43"/>
    </w:p>
    <w:p>
      <w:pPr>
        <w:pStyle w:val="Bibliography"/>
        <w:rPr/>
      </w:pPr>
      <w:bookmarkStart w:id="44"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21">
        <w:r>
          <w:rPr>
            <w:rStyle w:val="Hyperlink"/>
          </w:rPr>
          <w:t>https://doi.org/10.1186/s12864-023-09211-w</w:t>
        </w:r>
      </w:hyperlink>
      <w:bookmarkEnd w:id="44"/>
    </w:p>
    <w:p>
      <w:pPr>
        <w:pStyle w:val="Bibliography"/>
        <w:rPr/>
      </w:pPr>
      <w:bookmarkStart w:id="45"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22">
        <w:r>
          <w:rPr>
            <w:rStyle w:val="Hyperlink"/>
          </w:rPr>
          <w:t>https://doi.org/10.14806/ej.17.1.200</w:t>
        </w:r>
      </w:hyperlink>
      <w:bookmarkEnd w:id="45"/>
    </w:p>
    <w:p>
      <w:pPr>
        <w:pStyle w:val="Bibliography"/>
        <w:rPr/>
      </w:pPr>
      <w:bookmarkStart w:id="46"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23">
        <w:r>
          <w:rPr>
            <w:rStyle w:val="Hyperlink"/>
          </w:rPr>
          <w:t>https://doi.org/10.1371/journal.pone.0061217</w:t>
        </w:r>
      </w:hyperlink>
      <w:bookmarkEnd w:id="46"/>
    </w:p>
    <w:p>
      <w:pPr>
        <w:pStyle w:val="Bibliography"/>
        <w:rPr/>
      </w:pPr>
      <w:bookmarkStart w:id="47"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24">
        <w:r>
          <w:rPr>
            <w:rStyle w:val="Hyperlink"/>
          </w:rPr>
          <w:t>https://doi.org/10.1038/s42003-021-01826-7</w:t>
        </w:r>
      </w:hyperlink>
      <w:bookmarkEnd w:id="47"/>
    </w:p>
    <w:p>
      <w:pPr>
        <w:pStyle w:val="Bibliography"/>
        <w:rPr/>
      </w:pPr>
      <w:bookmarkStart w:id="48"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25">
        <w:r>
          <w:rPr>
            <w:rStyle w:val="Hyperlink"/>
          </w:rPr>
          <w:t>https://github.com/vegandevs/vegan</w:t>
        </w:r>
      </w:hyperlink>
      <w:bookmarkEnd w:id="48"/>
    </w:p>
    <w:p>
      <w:pPr>
        <w:pStyle w:val="Bibliography"/>
        <w:rPr/>
      </w:pPr>
      <w:bookmarkStart w:id="49" w:name="ref-rcoreteam2023"/>
      <w:r>
        <w:rPr/>
        <w:t xml:space="preserve">R Core Team. (2023). </w:t>
      </w:r>
      <w:r>
        <w:rPr>
          <w:i/>
          <w:iCs/>
        </w:rPr>
        <w:t>R: A Language and Environment for Statistical Computing</w:t>
      </w:r>
      <w:r>
        <w:rPr/>
        <w:t xml:space="preserve"> [Computer software]. R Foundation for Statistical Computing. </w:t>
      </w:r>
      <w:hyperlink r:id="rId26">
        <w:r>
          <w:rPr>
            <w:rStyle w:val="Hyperlink"/>
          </w:rPr>
          <w:t>https://www.R-project.org/</w:t>
        </w:r>
      </w:hyperlink>
      <w:bookmarkEnd w:id="49"/>
    </w:p>
    <w:p>
      <w:pPr>
        <w:pStyle w:val="Bibliography"/>
        <w:rPr/>
      </w:pPr>
      <w:bookmarkStart w:id="50"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27">
        <w:r>
          <w:rPr>
            <w:rStyle w:val="Hyperlink"/>
          </w:rPr>
          <w:t>https://doi.org/10.1101/gr.128124.111</w:t>
        </w:r>
      </w:hyperlink>
      <w:bookmarkEnd w:id="50"/>
    </w:p>
    <w:p>
      <w:pPr>
        <w:pStyle w:val="Bibliography"/>
        <w:rPr/>
      </w:pPr>
      <w:bookmarkStart w:id="51"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28">
        <w:r>
          <w:rPr>
            <w:rStyle w:val="Hyperlink"/>
          </w:rPr>
          <w:t>https://doi.org/10.1186/1471-2105-13-283</w:t>
        </w:r>
      </w:hyperlink>
      <w:bookmarkEnd w:id="51"/>
    </w:p>
    <w:p>
      <w:pPr>
        <w:pStyle w:val="Bibliography"/>
        <w:rPr/>
      </w:pPr>
      <w:bookmarkStart w:id="52"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29">
        <w:r>
          <w:rPr>
            <w:rStyle w:val="Hyperlink"/>
          </w:rPr>
          <w:t>https://doi.org/10.1073/pnas.1706324114</w:t>
        </w:r>
      </w:hyperlink>
      <w:bookmarkEnd w:id="52"/>
    </w:p>
    <w:p>
      <w:pPr>
        <w:pStyle w:val="Bibliography"/>
        <w:rPr/>
      </w:pPr>
      <w:bookmarkStart w:id="53"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30">
        <w:r>
          <w:rPr>
            <w:rStyle w:val="Hyperlink"/>
          </w:rPr>
          <w:t>https://doi.org/10.3389/fmicb.2016.01399</w:t>
        </w:r>
      </w:hyperlink>
      <w:bookmarkEnd w:id="53"/>
    </w:p>
    <w:p>
      <w:pPr>
        <w:pStyle w:val="Bibliography"/>
        <w:rPr/>
      </w:pPr>
      <w:bookmarkStart w:id="54"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31">
        <w:r>
          <w:rPr>
            <w:rStyle w:val="Hyperlink"/>
          </w:rPr>
          <w:t>https://doi.org/lutzoni</w:t>
        </w:r>
      </w:hyperlink>
      <w:bookmarkEnd w:id="54"/>
    </w:p>
    <w:p>
      <w:pPr>
        <w:pStyle w:val="Bibliography"/>
        <w:rPr/>
      </w:pPr>
      <w:bookmarkStart w:id="55" w:name="ref-uren2017"/>
      <w:r>
        <w:rPr/>
        <w:t xml:space="preserve">U’Ren, J. M., &amp; Arnold, A. E. (2017). 96 well DNA Extraction Protocol for Plant and Lichen Tissue Stored in CTAB. </w:t>
      </w:r>
      <w:r>
        <w:rPr>
          <w:i/>
          <w:iCs/>
        </w:rPr>
        <w:t>Protocols.io</w:t>
      </w:r>
      <w:r>
        <w:rPr/>
        <w:t xml:space="preserve">, 1–5. </w:t>
      </w:r>
      <w:hyperlink r:id="rId32">
        <w:r>
          <w:rPr>
            <w:rStyle w:val="Hyperlink"/>
          </w:rPr>
          <w:t>https://doi.org/dx.doi.org/10.17504/protocols.io.fscbnaw</w:t>
        </w:r>
      </w:hyperlink>
      <w:bookmarkEnd w:id="55"/>
    </w:p>
    <w:p>
      <w:pPr>
        <w:pStyle w:val="Bibliography"/>
        <w:rPr/>
      </w:pPr>
      <w:bookmarkStart w:id="56"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56"/>
    </w:p>
    <w:p>
      <w:pPr>
        <w:pStyle w:val="Bibliography"/>
        <w:rPr/>
      </w:pPr>
      <w:bookmarkStart w:id="57"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33">
        <w:r>
          <w:rPr>
            <w:rStyle w:val="Hyperlink"/>
          </w:rPr>
          <w:t>https://doi.org/10.1038/sj.hdy.6801018</w:t>
        </w:r>
      </w:hyperlink>
      <w:bookmarkEnd w:id="57"/>
    </w:p>
    <w:p>
      <w:pPr>
        <w:pStyle w:val="Bibliography"/>
        <w:rPr/>
      </w:pPr>
      <w:bookmarkStart w:id="58" w:name="ref-yuan2019"/>
      <w:r>
        <w:rPr/>
        <w:t xml:space="preserve">Yuan, Y. W. (2019). Monkeyflowers (Mimulus): New model for plant developmental genetics and evo-devo. </w:t>
      </w:r>
      <w:r>
        <w:rPr>
          <w:i/>
          <w:iCs/>
        </w:rPr>
        <w:t>New Phytologist</w:t>
      </w:r>
      <w:r>
        <w:rPr/>
        <w:t xml:space="preserve">, </w:t>
      </w:r>
      <w:r>
        <w:rPr>
          <w:i/>
          <w:iCs/>
        </w:rPr>
        <w:t>222</w:t>
      </w:r>
      <w:r>
        <w:rPr/>
        <w:t xml:space="preserve">(2), 694–700. </w:t>
      </w:r>
      <w:hyperlink r:id="rId34">
        <w:r>
          <w:rPr>
            <w:rStyle w:val="Hyperlink"/>
          </w:rPr>
          <w:t>https://doi.org/10.1111/nph.15560</w:t>
        </w:r>
      </w:hyperlink>
      <w:bookmarkEnd w:id="21"/>
      <w:bookmarkEnd w:id="22"/>
      <w:bookmarkEnd w:id="58"/>
    </w:p>
    <w:p>
      <w:pPr>
        <w:pStyle w:val="Heading1"/>
        <w:rPr/>
      </w:pPr>
      <w:bookmarkStart w:id="59" w:name="figures"/>
      <w:r>
        <w:rPr/>
        <w:t>12. Figures</w:t>
      </w:r>
    </w:p>
    <w:p>
      <w:pPr>
        <w:pStyle w:val="Heading2"/>
        <w:rPr/>
      </w:pPr>
      <w:bookmarkStart w:id="60" w:name="figure-1"/>
      <w:r>
        <w:rPr/>
        <w:t>12.1 Figure 1</w:t>
      </w:r>
    </w:p>
    <w:p>
      <w:pPr>
        <w:pStyle w:val="CaptionedFigure"/>
        <w:rPr/>
      </w:pPr>
      <w:r>
        <w:rPr/>
        <w:drawing>
          <wp:inline distT="0" distB="0" distL="0" distR="0">
            <wp:extent cx="5544185" cy="5544185"/>
            <wp:effectExtent l="0" t="0" r="0" b="0"/>
            <wp:doc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atus and M. nasutus. The latter two have greater overlap along PC1 and 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atus and M. nasutus. The latter two have greater overlap along PC1 and PC2."/>
                    <pic:cNvPicPr>
                      <a:picLocks noChangeAspect="1" noChangeArrowheads="1"/>
                    </pic:cNvPicPr>
                  </pic:nvPicPr>
                  <pic:blipFill>
                    <a:blip r:embed="rId35"/>
                    <a:stretch>
                      <a:fillRect/>
                    </a:stretch>
                  </pic:blipFill>
                  <pic:spPr bwMode="auto">
                    <a:xfrm>
                      <a:off x="0" y="0"/>
                      <a:ext cx="5544185" cy="5544185"/>
                    </a:xfrm>
                    <a:prstGeom prst="rect">
                      <a:avLst/>
                    </a:prstGeom>
                  </pic:spPr>
                </pic:pic>
              </a:graphicData>
            </a:graphic>
          </wp:inline>
        </w:drawing>
      </w:r>
    </w:p>
    <w:p>
      <w:pPr>
        <w:pStyle w:val="ImageCaption"/>
        <w:rPr/>
      </w:pPr>
      <w:r>
        <w:rPr/>
        <w:t xml:space="preserve">The Principal Component Analysis (PCA) shows how leaf functional traits are correlated. The PCA analyses shows correlations between ACI, LT, LPS, and LMA as loadings track along PC1 towards positive values. We observe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have greater overlap along PC1 and PC2.</w:t>
      </w:r>
      <w:bookmarkEnd w:id="60"/>
    </w:p>
    <w:p>
      <w:pPr>
        <w:pStyle w:val="Heading2"/>
        <w:rPr/>
      </w:pPr>
      <w:bookmarkStart w:id="61" w:name="figure-2"/>
      <w:r>
        <w:rPr/>
        <w:t>12.2 Figure 2</w:t>
      </w:r>
    </w:p>
    <w:p>
      <w:pPr>
        <w:pStyle w:val="CaptionedFigure"/>
        <w:rPr/>
      </w:pPr>
      <w:r>
        <w:rPr/>
        <w:drawing>
          <wp:inline distT="0" distB="0" distL="0" distR="0">
            <wp:extent cx="5544185" cy="5544185"/>
            <wp:effectExtent l="0" t="0" r="0" b="0"/>
            <wp:docPr id="2" name="Image2" descr="Regression plots of Hill orders by host speci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Regression plots of Hill orders by host speci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36"/>
                    <a:stretch>
                      <a:fillRect/>
                    </a:stretch>
                  </pic:blipFill>
                  <pic:spPr bwMode="auto">
                    <a:xfrm>
                      <a:off x="0" y="0"/>
                      <a:ext cx="5544185" cy="5544185"/>
                    </a:xfrm>
                    <a:prstGeom prst="rect">
                      <a:avLst/>
                    </a:prstGeom>
                  </pic:spPr>
                </pic:pic>
              </a:graphicData>
            </a:graphic>
          </wp:inline>
        </w:drawing>
      </w:r>
    </w:p>
    <w:p>
      <w:pPr>
        <w:pStyle w:val="ImageCaption"/>
        <w:rPr/>
      </w:pPr>
      <w:r>
        <w:rPr/>
        <w:t xml:space="preserve">Regression plots of Hill orders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61"/>
    </w:p>
    <w:p>
      <w:pPr>
        <w:pStyle w:val="Heading2"/>
        <w:rPr/>
      </w:pPr>
      <w:bookmarkStart w:id="62" w:name="figure-3"/>
      <w:r>
        <w:rPr/>
        <w:t>12.3 Figure 3</w:t>
      </w:r>
    </w:p>
    <w:p>
      <w:pPr>
        <w:pStyle w:val="CaptionedFigure"/>
        <w:rPr/>
      </w:pPr>
      <w:r>
        <w:rPr/>
        <w:drawing>
          <wp:inline distT="0" distB="0" distL="0" distR="0">
            <wp:extent cx="5544185" cy="5544185"/>
            <wp:effectExtent l="0" t="0" r="0" b="0"/>
            <wp:docPr id="3" name="Image3" descr="Violin plot of Hill orders by host species and elevation category. A) Blue filled violins correspond to M. laciniatus, green filled to M. nasutus, and yellow to M. guttatus. B) Light blue violins correspond to LOW elevation sites, light yellow to MID and maroon to HIGH elevation sites, while squares represent M. laciniatus , circles M. nasutus and triangles M. guttatu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Violin plot of Hill orders by host species and elevation category. A) Blue filled violins correspond to M. laciniatus, green filled to M. nasutus, and yellow to M. guttatus. B) Light blue violins correspond to LOW elevation sites, light yellow to MID and maroon to HIGH elevation sites, while squares represent M. laciniatus , circles M. nasutus and triangles M. guttatus. Significance levels are represented by ns (not significant) and asterisks [p &lt; 0.05 (*), p &lt; 0.01 (*), p* &lt; 0.001 (*), and p &lt; 0.0001 (**)]."/>
                    <pic:cNvPicPr>
                      <a:picLocks noChangeAspect="1" noChangeArrowheads="1"/>
                    </pic:cNvPicPr>
                  </pic:nvPicPr>
                  <pic:blipFill>
                    <a:blip r:embed="rId37"/>
                    <a:stretch>
                      <a:fillRect/>
                    </a:stretch>
                  </pic:blipFill>
                  <pic:spPr bwMode="auto">
                    <a:xfrm>
                      <a:off x="0" y="0"/>
                      <a:ext cx="5544185" cy="5544185"/>
                    </a:xfrm>
                    <a:prstGeom prst="rect">
                      <a:avLst/>
                    </a:prstGeom>
                  </pic:spPr>
                </pic:pic>
              </a:graphicData>
            </a:graphic>
          </wp:inline>
        </w:drawing>
      </w:r>
    </w:p>
    <w:p>
      <w:pPr>
        <w:pStyle w:val="ImageCaption"/>
        <w:rPr/>
      </w:pPr>
      <w:r>
        <w:rPr/>
        <w:t xml:space="preserve">Violin plot of Hill orders by host species and elevation category. A) Blue filled violins correspond to </w:t>
      </w:r>
      <w:r>
        <w:rPr>
          <w:i/>
          <w:iCs/>
        </w:rPr>
        <w:t>M. laciniatus</w:t>
      </w:r>
      <w:r>
        <w:rPr/>
        <w:t xml:space="preserve">, green filled to </w:t>
      </w:r>
      <w:r>
        <w:rPr>
          <w:i/>
          <w:iCs/>
        </w:rPr>
        <w:t>M. nasutus</w:t>
      </w:r>
      <w:r>
        <w:rPr/>
        <w:t xml:space="preserve">, and yellow to </w:t>
      </w:r>
      <w:r>
        <w:rPr>
          <w:i/>
          <w:iCs/>
        </w:rPr>
        <w:t>M. guttatus</w:t>
      </w:r>
      <w:r>
        <w:rPr/>
        <w:t xml:space="preserve">. B) Light blue violins correspond to LOW elevation sites, light yellow to MID and maroon to HIGH elevation sites, while squares represent </w:t>
      </w:r>
      <w:r>
        <w:rPr>
          <w:i/>
          <w:iCs/>
        </w:rPr>
        <w:t>M. laciniatus</w:t>
      </w:r>
      <w:r>
        <w:rPr/>
        <w:t xml:space="preserve"> ,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62"/>
    </w:p>
    <w:p>
      <w:pPr>
        <w:pStyle w:val="Heading2"/>
        <w:rPr/>
      </w:pPr>
      <w:bookmarkStart w:id="63" w:name="figure-4"/>
      <w:r>
        <w:rPr/>
        <w:t>12.4 Figure 4</w:t>
      </w:r>
    </w:p>
    <w:p>
      <w:pPr>
        <w:pStyle w:val="CaptionedFigure"/>
        <w:rPr/>
      </w:pPr>
      <w:r>
        <w:rPr/>
        <w:drawing>
          <wp:inline distT="0" distB="0" distL="0" distR="0">
            <wp:extent cx="5544185" cy="5544185"/>
            <wp:effectExtent l="0" t="0" r="0" b="0"/>
            <wp:docPr id="4" name="Image4" descr="Bar plot of relative abundance of fungal phyl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Bar plot of relative abundance of fungal phyla by species and elevation category."/>
                    <pic:cNvPicPr>
                      <a:picLocks noChangeAspect="1" noChangeArrowheads="1"/>
                    </pic:cNvPicPr>
                  </pic:nvPicPr>
                  <pic:blipFill>
                    <a:blip r:embed="rId38"/>
                    <a:stretch>
                      <a:fillRect/>
                    </a:stretch>
                  </pic:blipFill>
                  <pic:spPr bwMode="auto">
                    <a:xfrm>
                      <a:off x="0" y="0"/>
                      <a:ext cx="5544185" cy="5544185"/>
                    </a:xfrm>
                    <a:prstGeom prst="rect">
                      <a:avLst/>
                    </a:prstGeom>
                  </pic:spPr>
                </pic:pic>
              </a:graphicData>
            </a:graphic>
          </wp:inline>
        </w:drawing>
      </w:r>
    </w:p>
    <w:p>
      <w:pPr>
        <w:pStyle w:val="ImageCaption"/>
        <w:rPr/>
      </w:pPr>
      <w:bookmarkStart w:id="64" w:name="figure-4"/>
      <w:r>
        <w:rPr/>
        <w:t>Bar plot of relative abundance of fungal phyla by species and elevation category.</w:t>
      </w:r>
      <w:bookmarkEnd w:id="64"/>
    </w:p>
    <w:p>
      <w:pPr>
        <w:pStyle w:val="Heading2"/>
        <w:rPr/>
      </w:pPr>
      <w:bookmarkStart w:id="65" w:name="figure-5"/>
      <w:r>
        <w:rPr/>
        <w:t>12.5 Figure 5</w:t>
      </w:r>
    </w:p>
    <w:p>
      <w:pPr>
        <w:pStyle w:val="CaptionedFigure"/>
        <w:rPr/>
      </w:pPr>
      <w:r>
        <w:rPr/>
        <w:drawing>
          <wp:inline distT="0" distB="0" distL="0" distR="0">
            <wp:extent cx="5544185" cy="5544185"/>
            <wp:effectExtent l="0" t="0" r="0" b="0"/>
            <wp:docPr id="5" name="Image5" descr="FEF community composition association with leaf functional traits and elevation per host species. Distance-based Redundancy Analysis (dbRDA) plot of FEF community and leaf functional traits by species. Each point represents a FEF community sample from one host species; colors represent host species. Solid lines represent significant associations (p &lt;0.01), while dashed lines represent non-significant associations. The length and direction of the arrows indicate the strength and direction of the association between the traits and the FEF community composition. The labels on the arrows represent the trait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FEF community composition association with leaf functional traits and elevation per host species. Distance-based Redundancy Analysis (dbRDA) plot of FEF community and leaf functional traits by species. Each point represents a FEF community sample from one host species; colors represent host species. Solid lines represent significant associations (p &lt;0.01), while dashed lines represent non-significant associations. The length and direction of the arrows indicate the strength and direction of the association between the traits and the FEF community composition. The labels on the arrows represent the traits. The plot is based on the Bray-Curtis dissimilarity matrix."/>
                    <pic:cNvPicPr>
                      <a:picLocks noChangeAspect="1" noChangeArrowheads="1"/>
                    </pic:cNvPicPr>
                  </pic:nvPicPr>
                  <pic:blipFill>
                    <a:blip r:embed="rId39"/>
                    <a:stretch>
                      <a:fillRect/>
                    </a:stretch>
                  </pic:blipFill>
                  <pic:spPr bwMode="auto">
                    <a:xfrm>
                      <a:off x="0" y="0"/>
                      <a:ext cx="5544185" cy="5544185"/>
                    </a:xfrm>
                    <a:prstGeom prst="rect">
                      <a:avLst/>
                    </a:prstGeom>
                  </pic:spPr>
                </pic:pic>
              </a:graphicData>
            </a:graphic>
          </wp:inline>
        </w:drawing>
      </w:r>
    </w:p>
    <w:p>
      <w:pPr>
        <w:pStyle w:val="ImageCaption"/>
        <w:rPr/>
      </w:pPr>
      <w:r>
        <w:rPr/>
        <w:t>FEF community composition association with leaf functional traits and elevation per host species. Distance-based Redundancy Analysis (dbRDA) plot of FEF community and leaf functional traits by species. Each point represents a FEF community sample from one host species; colors represent host species. Solid lines represent significant associations (</w:t>
      </w:r>
      <w:r>
        <w:rPr>
          <w:i/>
          <w:iCs/>
        </w:rPr>
        <w:t>p</w:t>
      </w:r>
      <w:r>
        <w:rPr/>
        <w:t xml:space="preserve"> &lt;0.01), while dashed lines represent non-significant associations. The length and direction of the arrows indicate the strength and direction of the association between the traits and the FEF community composition. The labels on the arrows represent the traits. The plot is based on the Bray-Curtis dissimilarity matrix.</w:t>
      </w:r>
      <w:bookmarkEnd w:id="59"/>
      <w:bookmarkEnd w:id="65"/>
    </w:p>
    <w:p>
      <w:pPr>
        <w:pStyle w:val="Heading1"/>
        <w:rPr/>
      </w:pPr>
      <w:bookmarkStart w:id="66" w:name="figure-6"/>
      <w:r>
        <w:rPr/>
        <w:t>13. Figure 6</w:t>
      </w:r>
    </w:p>
    <w:p>
      <w:pPr>
        <w:pStyle w:val="CaptionedFigure"/>
        <w:rPr/>
      </w:pPr>
      <w:r>
        <w:rPr/>
        <w:drawing>
          <wp:inline distT="0" distB="0" distL="0" distR="0">
            <wp:extent cx="5544185" cy="6468110"/>
            <wp:effectExtent l="0" t="0" r="0" b="0"/>
            <wp:docPr id="6" name="Image6" descr="Data represent pairwise Bray-Curtis dissimilarity among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Data represent pairwise Bray-Curtis dissimilarity among sites."/>
                    <pic:cNvPicPr>
                      <a:picLocks noChangeAspect="1" noChangeArrowheads="1"/>
                    </pic:cNvPicPr>
                  </pic:nvPicPr>
                  <pic:blipFill>
                    <a:blip r:embed="rId40"/>
                    <a:stretch>
                      <a:fillRect/>
                    </a:stretch>
                  </pic:blipFill>
                  <pic:spPr bwMode="auto">
                    <a:xfrm>
                      <a:off x="0" y="0"/>
                      <a:ext cx="5544185" cy="6468110"/>
                    </a:xfrm>
                    <a:prstGeom prst="rect">
                      <a:avLst/>
                    </a:prstGeom>
                  </pic:spPr>
                </pic:pic>
              </a:graphicData>
            </a:graphic>
          </wp:inline>
        </w:drawing>
      </w:r>
    </w:p>
    <w:p>
      <w:pPr>
        <w:pStyle w:val="ImageCaption"/>
        <w:rPr/>
      </w:pPr>
      <w:bookmarkStart w:id="67" w:name="figure-6"/>
      <w:r>
        <w:rPr/>
        <w:t>Data represent pairwise Bray-Curtis dissimilarity among sites.</w:t>
      </w:r>
      <w:bookmarkEnd w:id="67"/>
    </w:p>
    <w:p>
      <w:pPr>
        <w:pStyle w:val="Heading1"/>
        <w:rPr/>
      </w:pPr>
      <w:bookmarkStart w:id="68" w:name="supplementary-material"/>
      <w:r>
        <w:rPr/>
        <w:t>14. Supplementary Material</w:t>
      </w:r>
    </w:p>
    <w:p>
      <w:pPr>
        <w:pStyle w:val="Heading2"/>
        <w:rPr/>
      </w:pPr>
      <w:bookmarkStart w:id="69" w:name="figure-s1"/>
      <w:r>
        <w:rPr/>
        <w:t>14.1 Figure S1</w:t>
      </w:r>
      <w:bookmarkEnd w:id="69"/>
    </w:p>
    <w:p>
      <w:pPr>
        <w:pStyle w:val="Heading2"/>
        <w:rPr/>
      </w:pPr>
      <w:bookmarkStart w:id="70" w:name="figure-s2"/>
      <w:bookmarkEnd w:id="70"/>
      <w:r>
        <w:rPr/>
        <w:t>14.2 Figure S2</w:t>
      </w:r>
    </w:p>
    <w:p>
      <w:pPr>
        <w:pStyle w:val="CaptionedFigure"/>
        <w:rPr/>
      </w:pPr>
      <w:r>
        <w:rPr/>
        <w:drawing>
          <wp:inline distT="0" distB="0" distL="0" distR="0">
            <wp:extent cx="5544185" cy="5544185"/>
            <wp:effectExtent l="0" t="0" r="0" b="0"/>
            <wp:docPr id="7" name="Image7"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41"/>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p>
    <w:p>
      <w:pPr>
        <w:pStyle w:val="Heading2"/>
        <w:rPr/>
      </w:pPr>
      <w:bookmarkStart w:id="71" w:name="figure-s2"/>
      <w:bookmarkStart w:id="72" w:name="figure-s3"/>
      <w:bookmarkEnd w:id="71"/>
      <w:r>
        <w:rPr/>
        <w:t>14.3 Figure S3</w:t>
      </w:r>
    </w:p>
    <w:p>
      <w:pPr>
        <w:pStyle w:val="CaptionedFigure"/>
        <w:rPr/>
      </w:pPr>
      <w:r>
        <w:rPr/>
        <w:drawing>
          <wp:inline distT="0" distB="0" distL="0" distR="0">
            <wp:extent cx="5544185" cy="4620260"/>
            <wp:effectExtent l="0" t="0" r="0" b="0"/>
            <wp:docPr id="8" name="Image9"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42"/>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72"/>
    </w:p>
    <w:p>
      <w:pPr>
        <w:pStyle w:val="Heading2"/>
        <w:rPr/>
      </w:pPr>
      <w:bookmarkStart w:id="73" w:name="figure-s4"/>
      <w:r>
        <w:rPr/>
        <w:t>14.4 Figure S4</w:t>
      </w:r>
    </w:p>
    <w:p>
      <w:pPr>
        <w:pStyle w:val="CaptionedFigure"/>
        <w:rPr/>
      </w:pPr>
      <w:r>
        <w:rPr/>
        <w:drawing>
          <wp:inline distT="0" distB="0" distL="0" distR="0">
            <wp:extent cx="5544185" cy="5544185"/>
            <wp:effectExtent l="0" t="0" r="0" b="0"/>
            <wp:docPr id="9" name="Image10"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43"/>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73"/>
    </w:p>
    <w:p>
      <w:pPr>
        <w:pStyle w:val="Heading2"/>
        <w:rPr/>
      </w:pPr>
      <w:bookmarkStart w:id="74" w:name="figure-s5"/>
      <w:r>
        <w:rPr/>
        <w:t>14.5 Figure S5</w:t>
      </w:r>
    </w:p>
    <w:p>
      <w:pPr>
        <w:pStyle w:val="CaptionedFigure"/>
        <w:rPr/>
      </w:pPr>
      <w:r>
        <w:rPr/>
        <w:drawing>
          <wp:inline distT="0" distB="0" distL="0" distR="0">
            <wp:extent cx="5544185" cy="5544185"/>
            <wp:effectExtent l="0" t="0" r="0" b="0"/>
            <wp:docPr id="10" name="Image11"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44"/>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74"/>
    </w:p>
    <w:p>
      <w:pPr>
        <w:pStyle w:val="Heading2"/>
        <w:rPr/>
      </w:pPr>
      <w:bookmarkStart w:id="75" w:name="figure-s6"/>
      <w:r>
        <w:rPr/>
        <w:t>14.6 Figure S6</w:t>
      </w:r>
    </w:p>
    <w:p>
      <w:pPr>
        <w:pStyle w:val="CaptionedFigure"/>
        <w:rPr/>
      </w:pPr>
      <w:r>
        <w:rPr/>
        <w:drawing>
          <wp:inline distT="0" distB="0" distL="0" distR="0">
            <wp:extent cx="5544185" cy="5544185"/>
            <wp:effectExtent l="0" t="0" r="0" b="0"/>
            <wp:docPr id="11" name="Image12"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45"/>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75"/>
    </w:p>
    <w:p>
      <w:pPr>
        <w:pStyle w:val="Heading2"/>
        <w:rPr/>
      </w:pPr>
      <w:bookmarkStart w:id="76" w:name="suplemmentary-methods"/>
      <w:r>
        <w:rPr/>
        <w:t>14.7 Suplemmentary methods</w:t>
      </w:r>
    </w:p>
    <w:p>
      <w:pPr>
        <w:pStyle w:val="Heading3"/>
        <w:rPr/>
      </w:pPr>
      <w:bookmarkStart w:id="77" w:name="illumina-truseq-adapters"/>
      <w:r>
        <w:rPr/>
        <w:t>14.7.1 Illumina TruSeq adapters</w:t>
      </w:r>
    </w:p>
    <w:p>
      <w:pPr>
        <w:pStyle w:val="FirstParagraph"/>
        <w:rPr/>
      </w:pPr>
      <w:r>
        <w:rPr/>
        <w:t>The modified primers for the first PCR (adapter ligation and ITS1 amplification) were as follows: 5’ CACTCTTTCCCTACACGACGCTCTTCCGATCTCTTGGTCATTTAGAGGAAGTAA 3’ (forward) and 5’ GTGACTGGAGTTCAGACGTGTGCTCTTCCGATCTGCTGCGTTCTTCATCGATGC 3’ (reverse).</w:t>
      </w:r>
    </w:p>
    <w:p>
      <w:pPr>
        <w:pStyle w:val="BodyText"/>
        <w:spacing w:lineRule="auto" w:line="480" w:before="180" w:after="180"/>
        <w:rPr/>
      </w:pPr>
      <w:bookmarkStart w:id="78" w:name="supplementary-material"/>
      <w:bookmarkStart w:id="79" w:name="suplemmentary-methods"/>
      <w:bookmarkStart w:id="80" w:name="illumina-truseq-adapters"/>
      <w:r>
        <w:rPr/>
        <w:t>See (Gardes &amp; Bruns, 1993) and (White et al., 1990) for more details.</w:t>
      </w:r>
      <w:bookmarkEnd w:id="78"/>
      <w:bookmarkEnd w:id="79"/>
      <w:bookmarkEnd w:id="80"/>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www.nature.com/articles/s41396-021-01006-9.pdf" TargetMode="External"/><Relationship Id="rId4" Type="http://schemas.openxmlformats.org/officeDocument/2006/relationships/hyperlink" Target="https://doi.org/10.15156/BIO/2938067" TargetMode="External"/><Relationship Id="rId5" Type="http://schemas.openxmlformats.org/officeDocument/2006/relationships/hyperlink" Target="https://doi.org/10.1002/9781118445112.stat07841" TargetMode="External"/><Relationship Id="rId6" Type="http://schemas.openxmlformats.org/officeDocument/2006/relationships/hyperlink" Target="https://doi.org/dx.doi.org/10.17504/protocols.io.bp2l6xn8rlqe/v2" TargetMode="External"/><Relationship Id="rId7" Type="http://schemas.openxmlformats.org/officeDocument/2006/relationships/hyperlink" Target="https://doi.org/10.1007/s00248-011-9975-8.Flowers" TargetMode="External"/><Relationship Id="rId8" Type="http://schemas.openxmlformats.org/officeDocument/2006/relationships/hyperlink" Target="https://doi.org/10.1038/nmeth.3869" TargetMode="External"/><Relationship Id="rId9" Type="http://schemas.openxmlformats.org/officeDocument/2006/relationships/hyperlink" Target="https://doi.org/10.1186/s40168-018-0605-2" TargetMode="External"/><Relationship Id="rId10" Type="http://schemas.openxmlformats.org/officeDocument/2006/relationships/hyperlink" Target="https://doi.org/10.1890/08-1823.1" TargetMode="External"/><Relationship Id="rId11" Type="http://schemas.openxmlformats.org/officeDocument/2006/relationships/hyperlink" Target="https://doi.org/10.1093/bioinformatics/btv401" TargetMode="External"/><Relationship Id="rId12" Type="http://schemas.openxmlformats.org/officeDocument/2006/relationships/hyperlink" Target="https://doi.org/10.1093/bioinformatics/btw354" TargetMode="External"/><Relationship Id="rId13" Type="http://schemas.openxmlformats.org/officeDocument/2006/relationships/hyperlink" Target="https://doi.org/10.1111/mec.13763" TargetMode="External"/><Relationship Id="rId14" Type="http://schemas.openxmlformats.org/officeDocument/2006/relationships/hyperlink" Target="https://doi.org/10.1093/aob/mcv080" TargetMode="External"/><Relationship Id="rId15" Type="http://schemas.openxmlformats.org/officeDocument/2006/relationships/hyperlink" Target="https://doi.org/10.1111/j.1365-294X.1993.tb00005.x" TargetMode="External"/><Relationship Id="rId16" Type="http://schemas.openxmlformats.org/officeDocument/2006/relationships/hyperlink" Target="https://doi.org/10.1016/j.funeco.2013.12.005" TargetMode="External"/><Relationship Id="rId17" Type="http://schemas.openxmlformats.org/officeDocument/2006/relationships/hyperlink" Target="https://doi.org/10.1038/ncomms6320" TargetMode="External"/><Relationship Id="rId18" Type="http://schemas.openxmlformats.org/officeDocument/2006/relationships/hyperlink" Target="https://rpkgs.datanovia.com/rstatix/" TargetMode="External"/><Relationship Id="rId19" Type="http://schemas.openxmlformats.org/officeDocument/2006/relationships/hyperlink" Target="https://doi.org/10.1038/s43705-022-00107-6" TargetMode="External"/><Relationship Id="rId20" Type="http://schemas.openxmlformats.org/officeDocument/2006/relationships/hyperlink" Target="https://doi.org/10.1890/0012-9615(1999)069%5B0001:DBRATM%5D2.0.CO;2" TargetMode="External"/><Relationship Id="rId21" Type="http://schemas.openxmlformats.org/officeDocument/2006/relationships/hyperlink" Target="https://doi.org/10.1186/s12864-023-09211-w" TargetMode="External"/><Relationship Id="rId22" Type="http://schemas.openxmlformats.org/officeDocument/2006/relationships/hyperlink" Target="https://doi.org/10.14806/ej.17.1.200" TargetMode="External"/><Relationship Id="rId23" Type="http://schemas.openxmlformats.org/officeDocument/2006/relationships/hyperlink" Target="https://doi.org/10.1371/journal.pone.0061217" TargetMode="External"/><Relationship Id="rId24" Type="http://schemas.openxmlformats.org/officeDocument/2006/relationships/hyperlink" Target="https://doi.org/10.1038/s42003-021-01826-7" TargetMode="External"/><Relationship Id="rId25" Type="http://schemas.openxmlformats.org/officeDocument/2006/relationships/hyperlink" Target="https://github.com/vegandevs/vegan" TargetMode="External"/><Relationship Id="rId26" Type="http://schemas.openxmlformats.org/officeDocument/2006/relationships/hyperlink" Target="https://www.R-project.org/" TargetMode="External"/><Relationship Id="rId27" Type="http://schemas.openxmlformats.org/officeDocument/2006/relationships/hyperlink" Target="https://doi.org/10.1101/gr.128124.111" TargetMode="External"/><Relationship Id="rId28" Type="http://schemas.openxmlformats.org/officeDocument/2006/relationships/hyperlink" Target="https://doi.org/10.1186/1471-2105-13-283" TargetMode="External"/><Relationship Id="rId29" Type="http://schemas.openxmlformats.org/officeDocument/2006/relationships/hyperlink" Target="https://doi.org/10.1073/pnas.1706324114" TargetMode="External"/><Relationship Id="rId30" Type="http://schemas.openxmlformats.org/officeDocument/2006/relationships/hyperlink" Target="https://doi.org/10.3389/fmicb.2016.01399" TargetMode="External"/><Relationship Id="rId31" Type="http://schemas.openxmlformats.org/officeDocument/2006/relationships/hyperlink" Target="https://doi.org/lutzoni" TargetMode="External"/><Relationship Id="rId32" Type="http://schemas.openxmlformats.org/officeDocument/2006/relationships/hyperlink" Target="https://doi.org/dx.doi.org/10.17504/protocols.io.fscbnaw" TargetMode="External"/><Relationship Id="rId33" Type="http://schemas.openxmlformats.org/officeDocument/2006/relationships/hyperlink" Target="https://doi.org/10.1038/sj.hdy.6801018" TargetMode="External"/><Relationship Id="rId34" Type="http://schemas.openxmlformats.org/officeDocument/2006/relationships/hyperlink" Target="https://doi.org/10.1111/nph.15560" TargetMode="External"/><Relationship Id="rId35" Type="http://schemas.openxmlformats.org/officeDocument/2006/relationships/image" Target="media/image1.png"/><Relationship Id="rId36" Type="http://schemas.openxmlformats.org/officeDocument/2006/relationships/image" Target="media/image2.pn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png"/><Relationship Id="rId40" Type="http://schemas.openxmlformats.org/officeDocument/2006/relationships/image" Target="media/image6.png"/><Relationship Id="rId41" Type="http://schemas.openxmlformats.org/officeDocument/2006/relationships/image" Target="media/image7.png"/><Relationship Id="rId42" Type="http://schemas.openxmlformats.org/officeDocument/2006/relationships/image" Target="media/image8.png"/><Relationship Id="rId43" Type="http://schemas.openxmlformats.org/officeDocument/2006/relationships/image" Target="media/image9.png"/><Relationship Id="rId44" Type="http://schemas.openxmlformats.org/officeDocument/2006/relationships/image" Target="media/image10.png"/><Relationship Id="rId45" Type="http://schemas.openxmlformats.org/officeDocument/2006/relationships/image" Target="media/image11.png"/><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103</TotalTime>
  <Application>LibreOffice/24.2.0.3$Linux_X86_64 LibreOffice_project/420$Build-3</Application>
  <AppVersion>15.0000</AppVersion>
  <Pages>35</Pages>
  <Words>7026</Words>
  <Characters>39212</Characters>
  <CharactersWithSpaces>46109</CharactersWithSpaces>
  <Paragraphs>122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2024-03-04T19:00:26Z</dcterms:created>
  <dc:creator>Bolívar Aponte Rolón1,✉, Kathleen G. Ferris2, and Sunshine A. Van Bael2</dc:creator>
  <dc:description/>
  <dc:language>en-US</dc:language>
  <cp:lastModifiedBy>Bolívar Aponte Rolón</cp:lastModifiedBy>
  <dcterms:modified xsi:type="dcterms:W3CDTF">2024-03-04T13:12:20Z</dcterms:modified>
  <cp:revision>1</cp:revision>
  <dc:subject/>
  <dc:title>[Working title]: 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March 4,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